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7B197" w14:textId="7FE992AA" w:rsidR="00613542" w:rsidRPr="007872DC" w:rsidRDefault="00613542" w:rsidP="00613542">
      <w:pPr>
        <w:rPr>
          <w:b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613542" w:rsidRPr="0031527B" w14:paraId="73812FFC" w14:textId="77777777" w:rsidTr="009C7365">
        <w:trPr>
          <w:cantSplit/>
        </w:trPr>
        <w:tc>
          <w:tcPr>
            <w:tcW w:w="3936" w:type="dxa"/>
          </w:tcPr>
          <w:p w14:paraId="6C64D661" w14:textId="77777777" w:rsidR="00613542" w:rsidRPr="0031527B" w:rsidRDefault="00613542" w:rsidP="009C7365">
            <w:pPr>
              <w:jc w:val="center"/>
              <w:rPr>
                <w:b/>
                <w:bCs/>
              </w:rPr>
            </w:pPr>
            <w:r w:rsidRPr="0031527B">
              <w:rPr>
                <w:b/>
                <w:bCs/>
                <w:noProof/>
              </w:rPr>
              <w:drawing>
                <wp:inline distT="0" distB="0" distL="0" distR="0" wp14:anchorId="49B11171" wp14:editId="28F6EB67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542" w:rsidRPr="0031527B" w14:paraId="265159A3" w14:textId="77777777" w:rsidTr="009C7365">
        <w:trPr>
          <w:cantSplit/>
        </w:trPr>
        <w:tc>
          <w:tcPr>
            <w:tcW w:w="3936" w:type="dxa"/>
          </w:tcPr>
          <w:p w14:paraId="3E1AD45A" w14:textId="77777777" w:rsidR="00613542" w:rsidRPr="0031527B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REPUBLIKA HRVATSKA</w:t>
            </w:r>
          </w:p>
        </w:tc>
      </w:tr>
      <w:tr w:rsidR="00613542" w:rsidRPr="0031527B" w14:paraId="0975D0C2" w14:textId="77777777" w:rsidTr="009C7365">
        <w:trPr>
          <w:cantSplit/>
        </w:trPr>
        <w:tc>
          <w:tcPr>
            <w:tcW w:w="3936" w:type="dxa"/>
          </w:tcPr>
          <w:p w14:paraId="19E88CFF" w14:textId="77777777" w:rsidR="00613542" w:rsidRPr="0031527B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ISTARSKA ŽUPANIJA</w:t>
            </w:r>
          </w:p>
        </w:tc>
      </w:tr>
      <w:tr w:rsidR="00613542" w:rsidRPr="0031527B" w14:paraId="027C3EF7" w14:textId="77777777" w:rsidTr="009C7365">
        <w:trPr>
          <w:cantSplit/>
        </w:trPr>
        <w:tc>
          <w:tcPr>
            <w:tcW w:w="3936" w:type="dxa"/>
          </w:tcPr>
          <w:p w14:paraId="07D645D9" w14:textId="77777777" w:rsidR="00613542" w:rsidRPr="0031527B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GRAD POREČ - PORENZO</w:t>
            </w:r>
          </w:p>
          <w:p w14:paraId="42423F1E" w14:textId="5C1BC424" w:rsidR="00613542" w:rsidRPr="0031527B" w:rsidRDefault="00613542" w:rsidP="009C7365">
            <w:pPr>
              <w:jc w:val="center"/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CITT</w:t>
            </w:r>
            <w:r w:rsidR="0031527B" w:rsidRPr="0031527B">
              <w:rPr>
                <w:b/>
                <w:bCs/>
                <w:lang w:val="de-DE"/>
              </w:rPr>
              <w:t>À</w:t>
            </w:r>
            <w:r w:rsidRPr="0031527B">
              <w:rPr>
                <w:b/>
                <w:bCs/>
                <w:lang w:val="de-DE"/>
              </w:rPr>
              <w:t xml:space="preserve"> DI POREČ - PARENZO</w:t>
            </w:r>
          </w:p>
        </w:tc>
      </w:tr>
      <w:tr w:rsidR="00613542" w:rsidRPr="0031527B" w14:paraId="4A50C692" w14:textId="77777777" w:rsidTr="009C7365">
        <w:trPr>
          <w:cantSplit/>
          <w:trHeight w:val="311"/>
        </w:trPr>
        <w:tc>
          <w:tcPr>
            <w:tcW w:w="3936" w:type="dxa"/>
          </w:tcPr>
          <w:p w14:paraId="246A9960" w14:textId="1FDFEE78" w:rsidR="00613542" w:rsidRPr="0031527B" w:rsidRDefault="00613542" w:rsidP="009C7365">
            <w:pPr>
              <w:jc w:val="center"/>
              <w:rPr>
                <w:b/>
                <w:bCs/>
                <w:lang w:val="de-DE"/>
              </w:rPr>
            </w:pPr>
            <w:proofErr w:type="spellStart"/>
            <w:r w:rsidRPr="0031527B">
              <w:rPr>
                <w:b/>
                <w:bCs/>
                <w:lang w:val="de-DE"/>
              </w:rPr>
              <w:t>Gradonačelnik</w:t>
            </w:r>
            <w:proofErr w:type="spellEnd"/>
          </w:p>
          <w:p w14:paraId="6CCC3819" w14:textId="7191145C" w:rsidR="0031527B" w:rsidRPr="0031527B" w:rsidRDefault="0031527B" w:rsidP="009C7365">
            <w:pPr>
              <w:jc w:val="center"/>
              <w:rPr>
                <w:b/>
                <w:bCs/>
                <w:lang w:val="de-DE"/>
              </w:rPr>
            </w:pPr>
          </w:p>
          <w:p w14:paraId="0C3C021A" w14:textId="28C7D67B" w:rsidR="0031527B" w:rsidRPr="0031527B" w:rsidRDefault="0031527B" w:rsidP="0031527B">
            <w:pPr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KLASA: 363-05/22-01/36</w:t>
            </w:r>
          </w:p>
          <w:p w14:paraId="27B87312" w14:textId="1D76800D" w:rsidR="0031527B" w:rsidRPr="0031527B" w:rsidRDefault="0031527B" w:rsidP="0031527B">
            <w:pPr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URBROJ: 2163-6-09/01-23-</w:t>
            </w:r>
            <w:r w:rsidR="009062E4">
              <w:rPr>
                <w:b/>
                <w:bCs/>
                <w:lang w:val="de-DE"/>
              </w:rPr>
              <w:t>8</w:t>
            </w:r>
          </w:p>
          <w:p w14:paraId="25D4B4D2" w14:textId="3E430BB0" w:rsidR="0031527B" w:rsidRPr="0031527B" w:rsidRDefault="0031527B" w:rsidP="0031527B">
            <w:pPr>
              <w:rPr>
                <w:b/>
                <w:bCs/>
                <w:lang w:val="de-DE"/>
              </w:rPr>
            </w:pPr>
            <w:r w:rsidRPr="0031527B">
              <w:rPr>
                <w:b/>
                <w:bCs/>
                <w:lang w:val="de-DE"/>
              </w:rPr>
              <w:t>Poreč-</w:t>
            </w:r>
            <w:proofErr w:type="spellStart"/>
            <w:r w:rsidRPr="0031527B">
              <w:rPr>
                <w:b/>
                <w:bCs/>
                <w:lang w:val="de-DE"/>
              </w:rPr>
              <w:t>Parenzo</w:t>
            </w:r>
            <w:proofErr w:type="spellEnd"/>
            <w:r w:rsidRPr="0031527B">
              <w:rPr>
                <w:b/>
                <w:bCs/>
                <w:lang w:val="de-DE"/>
              </w:rPr>
              <w:t xml:space="preserve">, 7. </w:t>
            </w:r>
            <w:proofErr w:type="spellStart"/>
            <w:r w:rsidR="004E2BD3">
              <w:rPr>
                <w:b/>
                <w:bCs/>
                <w:lang w:val="de-DE"/>
              </w:rPr>
              <w:t>p</w:t>
            </w:r>
            <w:r w:rsidRPr="0031527B">
              <w:rPr>
                <w:b/>
                <w:bCs/>
                <w:lang w:val="de-DE"/>
              </w:rPr>
              <w:t>rosinca</w:t>
            </w:r>
            <w:proofErr w:type="spellEnd"/>
            <w:r w:rsidRPr="0031527B">
              <w:rPr>
                <w:b/>
                <w:bCs/>
                <w:lang w:val="de-DE"/>
              </w:rPr>
              <w:t xml:space="preserve"> 2023.</w:t>
            </w:r>
          </w:p>
          <w:p w14:paraId="73882DC5" w14:textId="7A0B7D59" w:rsidR="0031527B" w:rsidRPr="0031527B" w:rsidRDefault="0031527B" w:rsidP="0031527B">
            <w:pPr>
              <w:rPr>
                <w:b/>
                <w:bCs/>
                <w:lang w:val="de-DE"/>
              </w:rPr>
            </w:pPr>
          </w:p>
        </w:tc>
      </w:tr>
    </w:tbl>
    <w:p w14:paraId="10FA113E" w14:textId="2BC6398C" w:rsidR="00613542" w:rsidRPr="0031527B" w:rsidRDefault="00613542" w:rsidP="0031527B">
      <w:pPr>
        <w:jc w:val="both"/>
        <w:rPr>
          <w:bCs/>
        </w:rPr>
      </w:pPr>
      <w:r w:rsidRPr="0031527B">
        <w:t xml:space="preserve">Na temelju članka 53. Statuta Grada Poreča - </w:t>
      </w:r>
      <w:proofErr w:type="spellStart"/>
      <w:r w:rsidRPr="0031527B">
        <w:t>Parenzo</w:t>
      </w:r>
      <w:proofErr w:type="spellEnd"/>
      <w:r w:rsidRPr="0031527B">
        <w:t xml:space="preserve"> (</w:t>
      </w:r>
      <w:r w:rsidR="0031527B" w:rsidRPr="0031527B">
        <w:t>,,</w:t>
      </w:r>
      <w:r w:rsidRPr="0031527B">
        <w:t>Službeni glasnik Grada Poreča</w:t>
      </w:r>
      <w:r w:rsidR="0031527B" w:rsidRPr="0031527B">
        <w:t>-</w:t>
      </w:r>
      <w:proofErr w:type="spellStart"/>
      <w:r w:rsidR="0031527B" w:rsidRPr="0031527B">
        <w:t>Parenzo</w:t>
      </w:r>
      <w:proofErr w:type="spellEnd"/>
      <w:r w:rsidR="0031527B" w:rsidRPr="0031527B">
        <w:t>“</w:t>
      </w:r>
      <w:r w:rsidRPr="0031527B">
        <w:t xml:space="preserve"> broj 02/13</w:t>
      </w:r>
      <w:r w:rsidR="00055D04" w:rsidRPr="0031527B">
        <w:t xml:space="preserve">, </w:t>
      </w:r>
      <w:r w:rsidRPr="0031527B">
        <w:t>10/18</w:t>
      </w:r>
      <w:r w:rsidR="00055D04" w:rsidRPr="0031527B">
        <w:t xml:space="preserve"> i 02/21</w:t>
      </w:r>
      <w:r w:rsidRPr="0031527B">
        <w:t>)</w:t>
      </w:r>
      <w:r w:rsidR="0031527B" w:rsidRPr="0031527B">
        <w:t xml:space="preserve"> i </w:t>
      </w:r>
      <w:r w:rsidRPr="0031527B">
        <w:t xml:space="preserve">na prijedlog Upravnog odjela za komunalni sustav </w:t>
      </w:r>
      <w:r w:rsidR="0031527B" w:rsidRPr="0031527B">
        <w:t>(</w:t>
      </w:r>
      <w:r w:rsidRPr="0031527B">
        <w:t xml:space="preserve">KLASA: </w:t>
      </w:r>
      <w:r w:rsidR="009A4812" w:rsidRPr="0031527B">
        <w:t>363-01/2</w:t>
      </w:r>
      <w:r w:rsidR="00055D04" w:rsidRPr="0031527B">
        <w:t>2</w:t>
      </w:r>
      <w:r w:rsidR="009A4812" w:rsidRPr="0031527B">
        <w:t>-02/453</w:t>
      </w:r>
      <w:r w:rsidRPr="0031527B">
        <w:t xml:space="preserve">, URBROJ: </w:t>
      </w:r>
      <w:r w:rsidR="00E47DC6" w:rsidRPr="0031527B">
        <w:t>2163-6</w:t>
      </w:r>
      <w:r w:rsidRPr="0031527B">
        <w:t>-05/03-2</w:t>
      </w:r>
      <w:r w:rsidR="00055D04" w:rsidRPr="0031527B">
        <w:t>3</w:t>
      </w:r>
      <w:r w:rsidRPr="0031527B">
        <w:t>-</w:t>
      </w:r>
      <w:r w:rsidR="00E47DC6" w:rsidRPr="0031527B">
        <w:t>7</w:t>
      </w:r>
      <w:r w:rsidRPr="0031527B">
        <w:t xml:space="preserve"> od </w:t>
      </w:r>
      <w:r w:rsidR="00E47DC6" w:rsidRPr="0031527B">
        <w:t>04.12</w:t>
      </w:r>
      <w:r w:rsidR="00055D04" w:rsidRPr="0031527B">
        <w:t>.2023</w:t>
      </w:r>
      <w:r w:rsidRPr="0031527B">
        <w:t>. godine</w:t>
      </w:r>
      <w:r w:rsidR="0031527B" w:rsidRPr="0031527B">
        <w:t>)</w:t>
      </w:r>
      <w:r w:rsidRPr="0031527B">
        <w:t xml:space="preserve">, Gradonačelnik Grada Poreča – </w:t>
      </w:r>
      <w:proofErr w:type="spellStart"/>
      <w:r w:rsidRPr="0031527B">
        <w:t>Parenzo</w:t>
      </w:r>
      <w:proofErr w:type="spellEnd"/>
      <w:r w:rsidRPr="0031527B">
        <w:t xml:space="preserve"> je donio sljedeći</w:t>
      </w:r>
    </w:p>
    <w:p w14:paraId="6474212F" w14:textId="77777777" w:rsidR="00613542" w:rsidRPr="0031527B" w:rsidRDefault="00613542" w:rsidP="00613542">
      <w:pPr>
        <w:jc w:val="both"/>
      </w:pPr>
    </w:p>
    <w:p w14:paraId="5629E19D" w14:textId="77777777" w:rsidR="00613542" w:rsidRPr="0031527B" w:rsidRDefault="00613542" w:rsidP="00613542"/>
    <w:p w14:paraId="1FC12033" w14:textId="77777777" w:rsidR="00613542" w:rsidRPr="0031527B" w:rsidRDefault="00613542" w:rsidP="00613542">
      <w:pPr>
        <w:jc w:val="center"/>
        <w:rPr>
          <w:b/>
        </w:rPr>
      </w:pPr>
      <w:r w:rsidRPr="0031527B">
        <w:rPr>
          <w:b/>
        </w:rPr>
        <w:t>Z A K L J U Č A K</w:t>
      </w:r>
    </w:p>
    <w:p w14:paraId="4EFD080A" w14:textId="77777777" w:rsidR="00613542" w:rsidRPr="0031527B" w:rsidRDefault="00613542" w:rsidP="00613542"/>
    <w:p w14:paraId="5C2A345C" w14:textId="21933739" w:rsidR="00613542" w:rsidRPr="0031527B" w:rsidRDefault="00613542" w:rsidP="00613542">
      <w:pPr>
        <w:numPr>
          <w:ilvl w:val="0"/>
          <w:numId w:val="3"/>
        </w:numPr>
        <w:tabs>
          <w:tab w:val="num" w:pos="567"/>
        </w:tabs>
        <w:jc w:val="both"/>
      </w:pPr>
      <w:r w:rsidRPr="0031527B">
        <w:t>Utvrđuje se prijedlog I</w:t>
      </w:r>
      <w:r w:rsidR="00E47DC6" w:rsidRPr="0031527B">
        <w:t>I</w:t>
      </w:r>
      <w:r w:rsidRPr="0031527B">
        <w:t>. izmjena i dopuna</w:t>
      </w:r>
      <w:r w:rsidRPr="0031527B">
        <w:rPr>
          <w:b/>
        </w:rPr>
        <w:t xml:space="preserve"> </w:t>
      </w:r>
      <w:r w:rsidRPr="0031527B">
        <w:t>Programa građenja komunalne infrastrukture za 202</w:t>
      </w:r>
      <w:r w:rsidR="00055D04" w:rsidRPr="0031527B">
        <w:t>3</w:t>
      </w:r>
      <w:r w:rsidRPr="0031527B">
        <w:t>.</w:t>
      </w:r>
      <w:r w:rsidRPr="0031527B">
        <w:rPr>
          <w:b/>
        </w:rPr>
        <w:t xml:space="preserve"> </w:t>
      </w:r>
      <w:r w:rsidRPr="0031527B">
        <w:t xml:space="preserve">godinu te </w:t>
      </w:r>
      <w:r w:rsidR="004E2BD3">
        <w:t xml:space="preserve">se </w:t>
      </w:r>
      <w:r w:rsidRPr="0031527B">
        <w:t>dostavlja Gradskom vijeću na razmatranje i donošenje u priloženom tekstu.</w:t>
      </w:r>
    </w:p>
    <w:p w14:paraId="5A278742" w14:textId="77777777" w:rsidR="00613542" w:rsidRPr="0031527B" w:rsidRDefault="00613542" w:rsidP="00613542">
      <w:pPr>
        <w:ind w:left="1080"/>
        <w:jc w:val="both"/>
      </w:pPr>
    </w:p>
    <w:p w14:paraId="397CE703" w14:textId="6434C897" w:rsidR="00613542" w:rsidRPr="0031527B" w:rsidRDefault="00613542" w:rsidP="00613542">
      <w:pPr>
        <w:numPr>
          <w:ilvl w:val="0"/>
          <w:numId w:val="3"/>
        </w:numPr>
        <w:tabs>
          <w:tab w:val="num" w:pos="567"/>
        </w:tabs>
        <w:jc w:val="both"/>
      </w:pPr>
      <w:r w:rsidRPr="0031527B">
        <w:t>Na sjednici Gradskog vijeća, sva potrebna tumačenja uz prijedlog Odluke</w:t>
      </w:r>
      <w:r w:rsidR="0031527B" w:rsidRPr="0031527B">
        <w:t xml:space="preserve"> iz točke 1. ovog Zaključka</w:t>
      </w:r>
      <w:r w:rsidRPr="0031527B">
        <w:t xml:space="preserve"> dat će Marino Poropat, pročelnik Upravnog odjela za komunalni sustav.</w:t>
      </w:r>
    </w:p>
    <w:p w14:paraId="07B7377C" w14:textId="2BD68071" w:rsidR="00613542" w:rsidRPr="0031527B" w:rsidRDefault="00613542" w:rsidP="00613542">
      <w:pPr>
        <w:jc w:val="both"/>
      </w:pPr>
    </w:p>
    <w:p w14:paraId="5F0A3DCD" w14:textId="77777777" w:rsidR="0031527B" w:rsidRPr="0031527B" w:rsidRDefault="0031527B" w:rsidP="00613542">
      <w:pPr>
        <w:jc w:val="both"/>
      </w:pPr>
    </w:p>
    <w:p w14:paraId="4F11D345" w14:textId="275AA90A" w:rsidR="0031527B" w:rsidRPr="0031527B" w:rsidRDefault="00446912" w:rsidP="0031527B">
      <w:r>
        <w:t xml:space="preserve">        </w:t>
      </w:r>
      <w:r w:rsidR="0031527B" w:rsidRPr="0031527B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31527B" w:rsidRPr="0031527B" w14:paraId="25C5AEFA" w14:textId="77777777" w:rsidTr="001074B2">
        <w:tc>
          <w:tcPr>
            <w:tcW w:w="5103" w:type="dxa"/>
          </w:tcPr>
          <w:p w14:paraId="79E2EE9B" w14:textId="2CE29D2D" w:rsidR="0031527B" w:rsidRDefault="00446912" w:rsidP="001074B2">
            <w:pPr>
              <w:pStyle w:val="Odlomakpopisa"/>
              <w:numPr>
                <w:ilvl w:val="0"/>
                <w:numId w:val="17"/>
              </w:numPr>
              <w:tabs>
                <w:tab w:val="left" w:pos="0"/>
              </w:tabs>
            </w:pPr>
            <w:r>
              <w:t xml:space="preserve">Prijedlog </w:t>
            </w:r>
            <w:r w:rsidR="0031527B" w:rsidRPr="0031527B">
              <w:t>II. izmjena i dopuna</w:t>
            </w:r>
            <w:r w:rsidR="0031527B" w:rsidRPr="0031527B">
              <w:rPr>
                <w:b/>
              </w:rPr>
              <w:t xml:space="preserve"> </w:t>
            </w:r>
            <w:r w:rsidR="0031527B" w:rsidRPr="0031527B">
              <w:t>Programa građenja komunalne infrastrukture za 2023.</w:t>
            </w:r>
            <w:r w:rsidR="0031527B" w:rsidRPr="0031527B">
              <w:rPr>
                <w:b/>
              </w:rPr>
              <w:t xml:space="preserve"> </w:t>
            </w:r>
            <w:r w:rsidR="0031527B" w:rsidRPr="0031527B">
              <w:t>godinu</w:t>
            </w:r>
          </w:p>
          <w:p w14:paraId="24481158" w14:textId="77777777" w:rsidR="004E2BD3" w:rsidRPr="0031527B" w:rsidRDefault="004E2BD3" w:rsidP="004E2BD3">
            <w:pPr>
              <w:pStyle w:val="Odlomakpopisa"/>
              <w:tabs>
                <w:tab w:val="left" w:pos="0"/>
              </w:tabs>
            </w:pPr>
          </w:p>
          <w:p w14:paraId="11E8A9C5" w14:textId="77777777" w:rsidR="0031527B" w:rsidRPr="0031527B" w:rsidRDefault="0031527B" w:rsidP="001074B2">
            <w:pPr>
              <w:pStyle w:val="Odlomakpopisa"/>
            </w:pPr>
          </w:p>
        </w:tc>
      </w:tr>
    </w:tbl>
    <w:p w14:paraId="2C8D4940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04EB0366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34BB2DBD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3BDE3E70" w14:textId="1D4BA0CD" w:rsidR="004E2BD3" w:rsidRDefault="004E2BD3" w:rsidP="004E2BD3">
      <w:pPr>
        <w:tabs>
          <w:tab w:val="left" w:pos="0"/>
          <w:tab w:val="left" w:pos="5422"/>
        </w:tabs>
        <w:rPr>
          <w:b/>
          <w:bCs/>
        </w:rPr>
      </w:pPr>
      <w:r>
        <w:rPr>
          <w:b/>
          <w:bCs/>
        </w:rPr>
        <w:tab/>
        <w:t xml:space="preserve">                      GRADONAČELNIK</w:t>
      </w:r>
    </w:p>
    <w:p w14:paraId="5C89B37E" w14:textId="37C8615B" w:rsidR="004E2BD3" w:rsidRDefault="004E2BD3" w:rsidP="004E2BD3">
      <w:pPr>
        <w:tabs>
          <w:tab w:val="left" w:pos="0"/>
          <w:tab w:val="left" w:pos="5798"/>
        </w:tabs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  <w:t xml:space="preserve">                      Loris Peršurić</w:t>
      </w:r>
    </w:p>
    <w:p w14:paraId="2FD43022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1E301341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264D35D2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2B1FF5C9" w14:textId="77777777" w:rsidR="004E2BD3" w:rsidRDefault="004E2BD3" w:rsidP="00613542">
      <w:pPr>
        <w:tabs>
          <w:tab w:val="left" w:pos="0"/>
        </w:tabs>
        <w:rPr>
          <w:b/>
          <w:bCs/>
        </w:rPr>
      </w:pPr>
    </w:p>
    <w:p w14:paraId="29FA05D0" w14:textId="7B168CAE" w:rsidR="00613542" w:rsidRPr="0031527B" w:rsidRDefault="0031527B" w:rsidP="00613542">
      <w:pPr>
        <w:tabs>
          <w:tab w:val="left" w:pos="0"/>
        </w:tabs>
      </w:pPr>
      <w:bookmarkStart w:id="0" w:name="_Hlk152843831"/>
      <w:r w:rsidRPr="0031527B">
        <w:rPr>
          <w:b/>
          <w:bCs/>
        </w:rPr>
        <w:t>DOSTAVITI</w:t>
      </w:r>
      <w:r w:rsidR="00613542" w:rsidRPr="0031527B">
        <w:t>:</w:t>
      </w:r>
    </w:p>
    <w:p w14:paraId="77BDBF2C" w14:textId="3C42CCC6" w:rsidR="00613542" w:rsidRPr="0031527B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31527B">
        <w:t>Gradsko vijeće,</w:t>
      </w:r>
      <w:r w:rsidR="004E2BD3">
        <w:t xml:space="preserve"> ovdje,</w:t>
      </w:r>
    </w:p>
    <w:p w14:paraId="455BE72E" w14:textId="659655C4" w:rsidR="00613542" w:rsidRPr="0031527B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31527B">
        <w:t>Upravn</w:t>
      </w:r>
      <w:r w:rsidR="00C70970">
        <w:t>i</w:t>
      </w:r>
      <w:r w:rsidRPr="0031527B">
        <w:t xml:space="preserve"> odjel za komunalni sustav</w:t>
      </w:r>
      <w:r w:rsidR="004E2BD3">
        <w:t>,</w:t>
      </w:r>
      <w:r w:rsidRPr="0031527B">
        <w:t xml:space="preserve"> ovdje,</w:t>
      </w:r>
    </w:p>
    <w:p w14:paraId="71C0B4A3" w14:textId="77777777" w:rsidR="00613542" w:rsidRPr="0031527B" w:rsidRDefault="00613542" w:rsidP="00613542">
      <w:pPr>
        <w:pStyle w:val="Odlomakpopisa"/>
        <w:numPr>
          <w:ilvl w:val="0"/>
          <w:numId w:val="4"/>
        </w:numPr>
        <w:tabs>
          <w:tab w:val="left" w:pos="0"/>
        </w:tabs>
      </w:pPr>
      <w:r w:rsidRPr="0031527B">
        <w:t>Pismohrana, ovdje.</w:t>
      </w:r>
    </w:p>
    <w:bookmarkEnd w:id="0"/>
    <w:p w14:paraId="46BBAB6A" w14:textId="77777777" w:rsidR="002462A1" w:rsidRPr="007872DC" w:rsidRDefault="002462A1" w:rsidP="00613542">
      <w:pPr>
        <w:tabs>
          <w:tab w:val="left" w:pos="0"/>
        </w:tabs>
        <w:rPr>
          <w:sz w:val="22"/>
          <w:szCs w:val="22"/>
        </w:rPr>
      </w:pPr>
    </w:p>
    <w:p w14:paraId="647FCC34" w14:textId="77777777" w:rsidR="00613542" w:rsidRPr="007872DC" w:rsidRDefault="00613542" w:rsidP="00613542">
      <w:pPr>
        <w:tabs>
          <w:tab w:val="left" w:pos="0"/>
        </w:tabs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694"/>
      </w:tblGrid>
      <w:tr w:rsidR="00613542" w:rsidRPr="007872DC" w14:paraId="746D1767" w14:textId="77777777" w:rsidTr="009C7365">
        <w:tc>
          <w:tcPr>
            <w:tcW w:w="4503" w:type="dxa"/>
            <w:gridSpan w:val="2"/>
          </w:tcPr>
          <w:p w14:paraId="15C9C71A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sz w:val="22"/>
                <w:szCs w:val="22"/>
              </w:rPr>
            </w:pPr>
            <w:r w:rsidRPr="007872DC">
              <w:rPr>
                <w:noProof/>
                <w:sz w:val="22"/>
                <w:szCs w:val="22"/>
              </w:rPr>
              <w:drawing>
                <wp:inline distT="0" distB="0" distL="0" distR="0" wp14:anchorId="23B18F9C" wp14:editId="6DDF0832">
                  <wp:extent cx="381000" cy="495300"/>
                  <wp:effectExtent l="0" t="0" r="0" b="0"/>
                  <wp:docPr id="3" name="Slika 3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7EC9C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REPUBLIKA HRVATSKA</w:t>
            </w:r>
          </w:p>
        </w:tc>
      </w:tr>
      <w:tr w:rsidR="00613542" w:rsidRPr="007872DC" w14:paraId="46E3268C" w14:textId="77777777" w:rsidTr="009C7365">
        <w:tc>
          <w:tcPr>
            <w:tcW w:w="4503" w:type="dxa"/>
            <w:gridSpan w:val="2"/>
            <w:hideMark/>
          </w:tcPr>
          <w:p w14:paraId="1827B8A4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ISTARSKA ŽUPANIJA</w:t>
            </w:r>
          </w:p>
        </w:tc>
      </w:tr>
      <w:tr w:rsidR="00613542" w:rsidRPr="007872DC" w14:paraId="33391B27" w14:textId="77777777" w:rsidTr="009C7365">
        <w:tc>
          <w:tcPr>
            <w:tcW w:w="4503" w:type="dxa"/>
            <w:gridSpan w:val="2"/>
            <w:hideMark/>
          </w:tcPr>
          <w:p w14:paraId="134AA0D4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GRAD POREČ – PARENZO</w:t>
            </w:r>
          </w:p>
          <w:p w14:paraId="3108A1EF" w14:textId="05A25546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CITT</w:t>
            </w:r>
            <w:r w:rsidR="004E2BD3">
              <w:rPr>
                <w:b/>
                <w:sz w:val="22"/>
                <w:szCs w:val="22"/>
              </w:rPr>
              <w:t>À</w:t>
            </w:r>
            <w:r w:rsidRPr="007872DC">
              <w:rPr>
                <w:b/>
                <w:sz w:val="22"/>
                <w:szCs w:val="22"/>
              </w:rPr>
              <w:t xml:space="preserve"> DI POREČ - PARENZO</w:t>
            </w:r>
          </w:p>
        </w:tc>
      </w:tr>
      <w:tr w:rsidR="00613542" w:rsidRPr="007872DC" w14:paraId="7F9D800E" w14:textId="77777777" w:rsidTr="009C7365">
        <w:tc>
          <w:tcPr>
            <w:tcW w:w="4503" w:type="dxa"/>
            <w:gridSpan w:val="2"/>
          </w:tcPr>
          <w:p w14:paraId="30D36C07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Gradsko vijeće</w:t>
            </w:r>
          </w:p>
          <w:p w14:paraId="39E41F9C" w14:textId="77777777" w:rsidR="00613542" w:rsidRPr="007872DC" w:rsidRDefault="00613542" w:rsidP="009C7365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613542" w:rsidRPr="007872DC" w14:paraId="656AAE0D" w14:textId="77777777" w:rsidTr="009C7365">
        <w:trPr>
          <w:trHeight w:val="280"/>
        </w:trPr>
        <w:tc>
          <w:tcPr>
            <w:tcW w:w="1809" w:type="dxa"/>
            <w:hideMark/>
          </w:tcPr>
          <w:p w14:paraId="584697DD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 xml:space="preserve">KLASA:    </w:t>
            </w:r>
          </w:p>
        </w:tc>
        <w:tc>
          <w:tcPr>
            <w:tcW w:w="2694" w:type="dxa"/>
          </w:tcPr>
          <w:p w14:paraId="273CE004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</w:p>
        </w:tc>
      </w:tr>
      <w:tr w:rsidR="00613542" w:rsidRPr="007872DC" w14:paraId="09FF3F4B" w14:textId="77777777" w:rsidTr="009C7365">
        <w:trPr>
          <w:trHeight w:val="278"/>
        </w:trPr>
        <w:tc>
          <w:tcPr>
            <w:tcW w:w="1809" w:type="dxa"/>
            <w:hideMark/>
          </w:tcPr>
          <w:p w14:paraId="48A41631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 xml:space="preserve">URBROJ: </w:t>
            </w:r>
          </w:p>
        </w:tc>
        <w:tc>
          <w:tcPr>
            <w:tcW w:w="2694" w:type="dxa"/>
          </w:tcPr>
          <w:p w14:paraId="59F43E1A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</w:p>
        </w:tc>
      </w:tr>
      <w:tr w:rsidR="00613542" w:rsidRPr="007872DC" w14:paraId="759C8DCD" w14:textId="77777777" w:rsidTr="009C7365">
        <w:trPr>
          <w:trHeight w:val="278"/>
        </w:trPr>
        <w:tc>
          <w:tcPr>
            <w:tcW w:w="1809" w:type="dxa"/>
            <w:hideMark/>
          </w:tcPr>
          <w:p w14:paraId="202BDD8A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 xml:space="preserve">Poreč - </w:t>
            </w:r>
            <w:proofErr w:type="spellStart"/>
            <w:r w:rsidRPr="007872DC">
              <w:rPr>
                <w:sz w:val="22"/>
                <w:szCs w:val="22"/>
              </w:rPr>
              <w:t>Parenzo</w:t>
            </w:r>
            <w:proofErr w:type="spellEnd"/>
            <w:r w:rsidRPr="007872DC">
              <w:rPr>
                <w:sz w:val="22"/>
                <w:szCs w:val="22"/>
              </w:rPr>
              <w:t>,</w:t>
            </w:r>
          </w:p>
        </w:tc>
        <w:tc>
          <w:tcPr>
            <w:tcW w:w="2694" w:type="dxa"/>
          </w:tcPr>
          <w:p w14:paraId="4DDEC0F0" w14:textId="77777777" w:rsidR="00613542" w:rsidRPr="007872DC" w:rsidRDefault="00613542" w:rsidP="009C7365">
            <w:pPr>
              <w:jc w:val="both"/>
              <w:rPr>
                <w:sz w:val="22"/>
                <w:szCs w:val="22"/>
              </w:rPr>
            </w:pPr>
          </w:p>
        </w:tc>
      </w:tr>
    </w:tbl>
    <w:p w14:paraId="11F8F0C7" w14:textId="77777777" w:rsidR="00613542" w:rsidRPr="007872DC" w:rsidRDefault="00613542" w:rsidP="00613542">
      <w:pPr>
        <w:ind w:firstLine="720"/>
        <w:jc w:val="both"/>
        <w:rPr>
          <w:sz w:val="22"/>
          <w:szCs w:val="22"/>
        </w:rPr>
      </w:pPr>
    </w:p>
    <w:p w14:paraId="1639CD26" w14:textId="2CA4FEAC" w:rsidR="00613542" w:rsidRPr="007872DC" w:rsidRDefault="00613542" w:rsidP="00613542">
      <w:pPr>
        <w:jc w:val="both"/>
        <w:rPr>
          <w:sz w:val="22"/>
          <w:szCs w:val="22"/>
          <w:lang w:val="pl-PL"/>
        </w:rPr>
      </w:pPr>
      <w:r w:rsidRPr="007872DC">
        <w:rPr>
          <w:sz w:val="22"/>
          <w:szCs w:val="22"/>
          <w:lang w:val="pl-PL"/>
        </w:rPr>
        <w:t xml:space="preserve">Na temelju </w:t>
      </w:r>
      <w:r w:rsidRPr="007872DC">
        <w:rPr>
          <w:sz w:val="22"/>
          <w:szCs w:val="22"/>
        </w:rPr>
        <w:t>članka 67. stavak 1. Zakona o komunalnom gospodarstvu (</w:t>
      </w:r>
      <w:r w:rsidR="004E2BD3">
        <w:rPr>
          <w:sz w:val="22"/>
          <w:szCs w:val="22"/>
        </w:rPr>
        <w:t>,,</w:t>
      </w:r>
      <w:r w:rsidRPr="007872DC">
        <w:rPr>
          <w:sz w:val="22"/>
          <w:szCs w:val="22"/>
        </w:rPr>
        <w:t xml:space="preserve">Narodne </w:t>
      </w:r>
      <w:r w:rsidR="004E2BD3">
        <w:rPr>
          <w:sz w:val="22"/>
          <w:szCs w:val="22"/>
        </w:rPr>
        <w:t>n</w:t>
      </w:r>
      <w:r w:rsidRPr="007872DC">
        <w:rPr>
          <w:sz w:val="22"/>
          <w:szCs w:val="22"/>
        </w:rPr>
        <w:t>ovin</w:t>
      </w:r>
      <w:r>
        <w:rPr>
          <w:sz w:val="22"/>
          <w:szCs w:val="22"/>
        </w:rPr>
        <w:t>e</w:t>
      </w:r>
      <w:r w:rsidR="004E2BD3">
        <w:rPr>
          <w:sz w:val="22"/>
          <w:szCs w:val="22"/>
        </w:rPr>
        <w:t>“</w:t>
      </w:r>
      <w:r>
        <w:rPr>
          <w:sz w:val="22"/>
          <w:szCs w:val="22"/>
        </w:rPr>
        <w:t xml:space="preserve"> br. 68/18,  110/18 i 32/20) </w:t>
      </w:r>
      <w:r w:rsidRPr="007872DC">
        <w:rPr>
          <w:sz w:val="22"/>
          <w:szCs w:val="22"/>
        </w:rPr>
        <w:t>i članka 41. Statuta Grada Poreča (</w:t>
      </w:r>
      <w:r w:rsidR="004E2BD3">
        <w:rPr>
          <w:sz w:val="22"/>
          <w:szCs w:val="22"/>
        </w:rPr>
        <w:t>,,</w:t>
      </w:r>
      <w:r w:rsidRPr="007872DC">
        <w:rPr>
          <w:sz w:val="22"/>
          <w:szCs w:val="22"/>
        </w:rPr>
        <w:t xml:space="preserve">Službeni glasnik Grada Poreča </w:t>
      </w:r>
      <w:r w:rsidR="004E2BD3">
        <w:rPr>
          <w:sz w:val="22"/>
          <w:szCs w:val="22"/>
        </w:rPr>
        <w:t>–</w:t>
      </w:r>
      <w:r w:rsidRPr="007872DC">
        <w:rPr>
          <w:sz w:val="22"/>
          <w:szCs w:val="22"/>
        </w:rPr>
        <w:t xml:space="preserve"> </w:t>
      </w:r>
      <w:proofErr w:type="spellStart"/>
      <w:r w:rsidRPr="007872DC">
        <w:rPr>
          <w:sz w:val="22"/>
          <w:szCs w:val="22"/>
        </w:rPr>
        <w:t>Parenzo</w:t>
      </w:r>
      <w:proofErr w:type="spellEnd"/>
      <w:r w:rsidR="004E2BD3">
        <w:rPr>
          <w:sz w:val="22"/>
          <w:szCs w:val="22"/>
        </w:rPr>
        <w:t>“</w:t>
      </w:r>
      <w:r w:rsidRPr="007872DC">
        <w:rPr>
          <w:sz w:val="22"/>
          <w:szCs w:val="22"/>
        </w:rPr>
        <w:t xml:space="preserve"> br. 02/13</w:t>
      </w:r>
      <w:r w:rsidR="00E47DC6">
        <w:rPr>
          <w:sz w:val="22"/>
          <w:szCs w:val="22"/>
        </w:rPr>
        <w:t xml:space="preserve">, </w:t>
      </w:r>
      <w:r w:rsidRPr="007872DC">
        <w:rPr>
          <w:sz w:val="22"/>
          <w:szCs w:val="22"/>
        </w:rPr>
        <w:t>10/18</w:t>
      </w:r>
      <w:r w:rsidR="00E47DC6">
        <w:rPr>
          <w:sz w:val="22"/>
          <w:szCs w:val="22"/>
        </w:rPr>
        <w:t xml:space="preserve"> i 01/21</w:t>
      </w:r>
      <w:r w:rsidRPr="007872DC">
        <w:rPr>
          <w:sz w:val="22"/>
          <w:szCs w:val="22"/>
        </w:rPr>
        <w:t xml:space="preserve">), Gradsko vijeće Grada Poreča - </w:t>
      </w:r>
      <w:proofErr w:type="spellStart"/>
      <w:r w:rsidRPr="007872DC">
        <w:rPr>
          <w:sz w:val="22"/>
          <w:szCs w:val="22"/>
        </w:rPr>
        <w:t>Parenzo</w:t>
      </w:r>
      <w:proofErr w:type="spellEnd"/>
      <w:r w:rsidRPr="007872DC">
        <w:rPr>
          <w:sz w:val="22"/>
          <w:szCs w:val="22"/>
        </w:rPr>
        <w:t xml:space="preserve"> na sjednici održanoj ................, donijelo je </w:t>
      </w:r>
    </w:p>
    <w:p w14:paraId="427FEFE4" w14:textId="77777777" w:rsidR="00613542" w:rsidRPr="007872DC" w:rsidRDefault="00613542" w:rsidP="00613542">
      <w:pPr>
        <w:jc w:val="both"/>
        <w:rPr>
          <w:b/>
          <w:bCs/>
          <w:sz w:val="22"/>
          <w:szCs w:val="22"/>
          <w:lang w:val="pl-PL"/>
        </w:rPr>
      </w:pPr>
    </w:p>
    <w:p w14:paraId="4122C370" w14:textId="19B7B29B" w:rsidR="00613542" w:rsidRPr="007872DC" w:rsidRDefault="00613542" w:rsidP="00613542">
      <w:pPr>
        <w:ind w:left="360"/>
        <w:jc w:val="center"/>
        <w:rPr>
          <w:b/>
          <w:bCs/>
          <w:sz w:val="22"/>
          <w:szCs w:val="22"/>
          <w:lang w:val="pl-PL"/>
        </w:rPr>
      </w:pPr>
      <w:r w:rsidRPr="007872DC">
        <w:rPr>
          <w:b/>
          <w:sz w:val="22"/>
          <w:szCs w:val="22"/>
        </w:rPr>
        <w:t>I</w:t>
      </w:r>
      <w:r w:rsidR="00E47DC6">
        <w:rPr>
          <w:b/>
          <w:sz w:val="22"/>
          <w:szCs w:val="22"/>
        </w:rPr>
        <w:t>I</w:t>
      </w:r>
      <w:r w:rsidRPr="007872DC">
        <w:rPr>
          <w:b/>
          <w:sz w:val="22"/>
          <w:szCs w:val="22"/>
        </w:rPr>
        <w:t xml:space="preserve">. IZMJENE I DOPUNE </w:t>
      </w:r>
      <w:r w:rsidRPr="007872DC">
        <w:rPr>
          <w:b/>
          <w:bCs/>
          <w:sz w:val="22"/>
          <w:szCs w:val="22"/>
          <w:lang w:val="pl-PL"/>
        </w:rPr>
        <w:t>PROGRAMA GRAĐENJA KOMUNALNE INFRASTRUKTURE ZA 202</w:t>
      </w:r>
      <w:r w:rsidR="00361B20">
        <w:rPr>
          <w:b/>
          <w:bCs/>
          <w:sz w:val="22"/>
          <w:szCs w:val="22"/>
          <w:lang w:val="pl-PL"/>
        </w:rPr>
        <w:t>3</w:t>
      </w:r>
      <w:r w:rsidRPr="007872DC">
        <w:rPr>
          <w:b/>
          <w:bCs/>
          <w:sz w:val="22"/>
          <w:szCs w:val="22"/>
          <w:lang w:val="pl-PL"/>
        </w:rPr>
        <w:t>. GODINU</w:t>
      </w:r>
    </w:p>
    <w:p w14:paraId="6DB06FB5" w14:textId="77777777" w:rsidR="00613542" w:rsidRPr="007872DC" w:rsidRDefault="00613542" w:rsidP="00613542">
      <w:pPr>
        <w:ind w:left="360"/>
        <w:jc w:val="center"/>
        <w:rPr>
          <w:b/>
          <w:bCs/>
          <w:sz w:val="22"/>
          <w:szCs w:val="22"/>
          <w:lang w:val="pl-PL"/>
        </w:rPr>
      </w:pPr>
    </w:p>
    <w:p w14:paraId="24BA72A9" w14:textId="77777777" w:rsidR="00613542" w:rsidRPr="007872DC" w:rsidRDefault="00613542" w:rsidP="00613542">
      <w:pPr>
        <w:jc w:val="center"/>
        <w:outlineLvl w:val="0"/>
        <w:rPr>
          <w:b/>
          <w:sz w:val="22"/>
          <w:szCs w:val="22"/>
        </w:rPr>
      </w:pPr>
      <w:r w:rsidRPr="007872DC">
        <w:rPr>
          <w:b/>
          <w:sz w:val="22"/>
          <w:szCs w:val="22"/>
        </w:rPr>
        <w:t>Članak  1.</w:t>
      </w:r>
    </w:p>
    <w:p w14:paraId="1FCD7345" w14:textId="6F42F91A" w:rsidR="00613542" w:rsidRPr="007872DC" w:rsidRDefault="00613542" w:rsidP="00613542">
      <w:pPr>
        <w:jc w:val="both"/>
        <w:rPr>
          <w:sz w:val="22"/>
          <w:szCs w:val="22"/>
        </w:rPr>
      </w:pPr>
      <w:r w:rsidRPr="007872DC">
        <w:rPr>
          <w:sz w:val="22"/>
          <w:szCs w:val="22"/>
        </w:rPr>
        <w:t>Članak 2. Programa građenja komunalne infrastrukture za 202</w:t>
      </w:r>
      <w:r w:rsidR="00361B20">
        <w:rPr>
          <w:sz w:val="22"/>
          <w:szCs w:val="22"/>
        </w:rPr>
        <w:t>3</w:t>
      </w:r>
      <w:r w:rsidRPr="007872DC">
        <w:rPr>
          <w:sz w:val="22"/>
          <w:szCs w:val="22"/>
        </w:rPr>
        <w:t>. godinu (</w:t>
      </w:r>
      <w:r w:rsidR="004E2BD3">
        <w:rPr>
          <w:sz w:val="22"/>
          <w:szCs w:val="22"/>
        </w:rPr>
        <w:t>,,</w:t>
      </w:r>
      <w:r w:rsidRPr="007872DC">
        <w:rPr>
          <w:sz w:val="22"/>
          <w:szCs w:val="22"/>
        </w:rPr>
        <w:t xml:space="preserve">Službeni glasnik Grada Poreča – </w:t>
      </w:r>
      <w:proofErr w:type="spellStart"/>
      <w:r w:rsidRPr="007872DC">
        <w:rPr>
          <w:sz w:val="22"/>
          <w:szCs w:val="22"/>
        </w:rPr>
        <w:t>Parenzo</w:t>
      </w:r>
      <w:proofErr w:type="spellEnd"/>
      <w:r w:rsidRPr="007872DC">
        <w:rPr>
          <w:sz w:val="22"/>
          <w:szCs w:val="22"/>
        </w:rPr>
        <w:t xml:space="preserve">“ broj </w:t>
      </w:r>
      <w:r w:rsidR="00361B20">
        <w:rPr>
          <w:sz w:val="22"/>
          <w:szCs w:val="22"/>
        </w:rPr>
        <w:t>11/22</w:t>
      </w:r>
      <w:r w:rsidR="00E47DC6">
        <w:rPr>
          <w:sz w:val="22"/>
          <w:szCs w:val="22"/>
        </w:rPr>
        <w:t xml:space="preserve"> i 10/23</w:t>
      </w:r>
      <w:r w:rsidRPr="007872DC">
        <w:rPr>
          <w:sz w:val="22"/>
          <w:szCs w:val="22"/>
        </w:rPr>
        <w:t xml:space="preserve">), (u daljnjem tekstu: Program) mijenja se i glasi: </w:t>
      </w:r>
    </w:p>
    <w:p w14:paraId="27CBE88C" w14:textId="77777777" w:rsidR="00613542" w:rsidRPr="007872DC" w:rsidRDefault="00613542" w:rsidP="00613542">
      <w:pPr>
        <w:rPr>
          <w:sz w:val="22"/>
          <w:szCs w:val="22"/>
        </w:rPr>
      </w:pPr>
    </w:p>
    <w:p w14:paraId="54A50B77" w14:textId="354FA0E3" w:rsidR="00613542" w:rsidRDefault="00613542" w:rsidP="00613542">
      <w:pPr>
        <w:jc w:val="both"/>
        <w:rPr>
          <w:sz w:val="22"/>
          <w:szCs w:val="22"/>
        </w:rPr>
      </w:pPr>
      <w:r w:rsidRPr="007872DC">
        <w:rPr>
          <w:sz w:val="22"/>
          <w:szCs w:val="22"/>
        </w:rPr>
        <w:t>U 202</w:t>
      </w:r>
      <w:r w:rsidR="00361B20">
        <w:rPr>
          <w:sz w:val="22"/>
          <w:szCs w:val="22"/>
        </w:rPr>
        <w:t>3</w:t>
      </w:r>
      <w:r w:rsidRPr="007872DC">
        <w:rPr>
          <w:sz w:val="22"/>
          <w:szCs w:val="22"/>
        </w:rPr>
        <w:t>. godini radi uređenja neuređenih dijelova građevinskog područja, u uređenim dijelovima građevinskog područja odnosno izvan građevinskog područja, planira se građenje i/ili rekonstrukcija slijedećih građevina komunalne infrastrukture:</w:t>
      </w:r>
    </w:p>
    <w:tbl>
      <w:tblPr>
        <w:tblW w:w="9488" w:type="dxa"/>
        <w:tblLook w:val="04A0" w:firstRow="1" w:lastRow="0" w:firstColumn="1" w:lastColumn="0" w:noHBand="0" w:noVBand="1"/>
      </w:tblPr>
      <w:tblGrid>
        <w:gridCol w:w="611"/>
        <w:gridCol w:w="4641"/>
        <w:gridCol w:w="1559"/>
        <w:gridCol w:w="1418"/>
        <w:gridCol w:w="1266"/>
      </w:tblGrid>
      <w:tr w:rsidR="002D253C" w14:paraId="3FB1756D" w14:textId="77777777" w:rsidTr="002D253C">
        <w:trPr>
          <w:trHeight w:val="660"/>
        </w:trPr>
        <w:tc>
          <w:tcPr>
            <w:tcW w:w="6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85C6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D250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NERAZVRSTANE CESTE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21B1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96945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C4BDC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253C" w14:paraId="03EF3AE2" w14:textId="77777777" w:rsidTr="002D253C">
        <w:trPr>
          <w:trHeight w:val="45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B349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C573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7CA7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157F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624E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2D253C" w14:paraId="414F154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9CF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D41D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K101001 Rekonstrukcija cesta, nogostupa i puteva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D9B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67BA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147.624,00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5E0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961.624,00</w:t>
            </w:r>
          </w:p>
        </w:tc>
      </w:tr>
      <w:tr w:rsidR="002D253C" w14:paraId="10FAFF9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F341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ED35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864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CA1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163.624,00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462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663.624,00</w:t>
            </w:r>
          </w:p>
        </w:tc>
      </w:tr>
      <w:tr w:rsidR="002D253C" w14:paraId="57922F7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166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0DC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8C3D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476.376,00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DF7A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151.124,00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C43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627.500,00</w:t>
            </w:r>
          </w:p>
        </w:tc>
      </w:tr>
      <w:tr w:rsidR="002D253C" w14:paraId="759AA14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571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36E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8B2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B46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A27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12.500,00</w:t>
            </w:r>
          </w:p>
        </w:tc>
      </w:tr>
      <w:tr w:rsidR="002D253C" w14:paraId="1772546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9BF7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210C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4.7. Prihodi od sufinanciranja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0A5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9A7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CDA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23.624,00</w:t>
            </w:r>
          </w:p>
        </w:tc>
      </w:tr>
      <w:tr w:rsidR="002D253C" w14:paraId="45BE5B7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2AB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AD6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3D5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7AB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684B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</w:tr>
      <w:tr w:rsidR="002D253C" w14:paraId="3139FE6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B44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FB4E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CE8D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2B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FA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</w:tr>
      <w:tr w:rsidR="002D253C" w14:paraId="1B3ABE8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3E0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B4D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603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2FC1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DD9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96.000,00</w:t>
            </w:r>
          </w:p>
        </w:tc>
      </w:tr>
      <w:tr w:rsidR="002D253C" w14:paraId="6A72F9F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FE4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132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801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A48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5D03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96.000,00</w:t>
            </w:r>
          </w:p>
        </w:tc>
      </w:tr>
      <w:tr w:rsidR="002D253C" w14:paraId="3A3084D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8D5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6175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75C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876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073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</w:tr>
      <w:tr w:rsidR="002D253C" w14:paraId="75AB813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319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51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A3B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8AB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-32.500,00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2538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21.000,00</w:t>
            </w:r>
          </w:p>
        </w:tc>
      </w:tr>
      <w:tr w:rsidR="002D253C" w14:paraId="3F38A78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8072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84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A27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8BA6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6DE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</w:tr>
      <w:tr w:rsidR="002D253C" w14:paraId="004BC28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E9B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30B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42C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C0E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69D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90.000,00</w:t>
            </w:r>
          </w:p>
        </w:tc>
      </w:tr>
      <w:tr w:rsidR="002D253C" w14:paraId="36BCD8C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F9A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6D7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12F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CDF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8D1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</w:tr>
      <w:tr w:rsidR="002D253C" w14:paraId="420A468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6A6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44B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030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55E7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9CB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70.000,00</w:t>
            </w:r>
          </w:p>
        </w:tc>
      </w:tr>
      <w:tr w:rsidR="002D253C" w14:paraId="5766DFB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F41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465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K101002 Imovinsko-pravni odnosi vezani za izgradnju cesta i javno prometnih površina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B1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BC6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45D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40C13FA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2039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9EF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F47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24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EF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151ACC3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CDA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EC3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E4A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B3D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F83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1880D61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6F0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649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K101003 Izgradnja infrastrukture i prometnica zone </w:t>
            </w:r>
            <w:proofErr w:type="spellStart"/>
            <w:r>
              <w:rPr>
                <w:sz w:val="20"/>
                <w:szCs w:val="20"/>
              </w:rPr>
              <w:t>Finida</w:t>
            </w:r>
            <w:proofErr w:type="spellEnd"/>
            <w:r>
              <w:rPr>
                <w:sz w:val="20"/>
                <w:szCs w:val="20"/>
              </w:rPr>
              <w:t xml:space="preserve"> sjever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11E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E9A3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E42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2D253C" w14:paraId="38ACE08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ADA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A7B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D09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F1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852C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2D253C" w14:paraId="036CECC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E906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C45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8FA3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0E6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69B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30.000,00</w:t>
            </w:r>
          </w:p>
        </w:tc>
      </w:tr>
      <w:tr w:rsidR="002D253C" w14:paraId="299E058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3F4E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C74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K101004 Izgradnja infrastrukture i prometnica zone Srednji </w:t>
            </w:r>
            <w:proofErr w:type="spellStart"/>
            <w:r>
              <w:rPr>
                <w:sz w:val="20"/>
                <w:szCs w:val="20"/>
              </w:rPr>
              <w:t>Špadići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9AE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339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CD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008FE7B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488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705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842E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5F3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375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0E7BE08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D71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042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D76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4A5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766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69DEBE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5AB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A0E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K101006 Infrastruktura Servisne zone III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D07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BD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0D6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</w:tc>
      </w:tr>
      <w:tr w:rsidR="002D253C" w14:paraId="167044F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F1C7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A3A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7190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7255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41E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</w:tc>
      </w:tr>
      <w:tr w:rsidR="002D253C" w14:paraId="61D1BC6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74F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0AE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8A5C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16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15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900.000,00</w:t>
            </w:r>
          </w:p>
        </w:tc>
      </w:tr>
      <w:tr w:rsidR="002D253C" w14:paraId="12958E4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651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389C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K101007 Raskrižje Vlašića - Vrsarska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800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D438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C55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8.300,00</w:t>
            </w:r>
          </w:p>
        </w:tc>
      </w:tr>
      <w:tr w:rsidR="002D253C" w14:paraId="195C0CC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986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744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22E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03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9A0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8.300,00</w:t>
            </w:r>
          </w:p>
        </w:tc>
      </w:tr>
      <w:tr w:rsidR="002D253C" w14:paraId="5D9F921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3ED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ED6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3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73A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06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8.300,00</w:t>
            </w:r>
          </w:p>
        </w:tc>
      </w:tr>
      <w:tr w:rsidR="002D253C" w14:paraId="27BEE27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700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1B1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K101008 Infrastruktura zone </w:t>
            </w:r>
            <w:proofErr w:type="spellStart"/>
            <w:r>
              <w:rPr>
                <w:sz w:val="20"/>
                <w:szCs w:val="20"/>
              </w:rPr>
              <w:t>Saladinka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40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8BC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3DE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</w:tr>
      <w:tr w:rsidR="002D253C" w14:paraId="32EEA2A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F2B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C14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B13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69B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758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</w:tr>
      <w:tr w:rsidR="002D253C" w14:paraId="38F8B55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2A0E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CB2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805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AC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28A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137.000,00</w:t>
            </w:r>
          </w:p>
        </w:tc>
      </w:tr>
      <w:tr w:rsidR="002D253C" w14:paraId="35D32BA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2A1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945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K101009 Prometnica Gornji </w:t>
            </w:r>
            <w:proofErr w:type="spellStart"/>
            <w:r>
              <w:rPr>
                <w:sz w:val="20"/>
                <w:szCs w:val="20"/>
              </w:rPr>
              <w:t>Špadići</w:t>
            </w:r>
            <w:proofErr w:type="spellEnd"/>
            <w:r>
              <w:rPr>
                <w:sz w:val="20"/>
                <w:szCs w:val="20"/>
              </w:rPr>
              <w:t xml:space="preserve"> - škola </w:t>
            </w:r>
            <w:proofErr w:type="spellStart"/>
            <w:r>
              <w:rPr>
                <w:sz w:val="20"/>
                <w:szCs w:val="20"/>
              </w:rPr>
              <w:t>Finida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C1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6B9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480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6B9DC4F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DCAE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E79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C77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4BE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402D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00C47BC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A809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E02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045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9D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7E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64A700C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C713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FCCC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K101011 Infrastruktura zone UPU </w:t>
            </w:r>
            <w:proofErr w:type="spellStart"/>
            <w:r>
              <w:rPr>
                <w:sz w:val="20"/>
                <w:szCs w:val="20"/>
              </w:rPr>
              <w:t>Špadići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E16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B66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63A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02D7C97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51A8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414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1C1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4E2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506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7010937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EE5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D3A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E9F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4DDE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A55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341AF12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BB3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E54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K101012 Infrastruktura zone </w:t>
            </w:r>
            <w:proofErr w:type="spellStart"/>
            <w:r>
              <w:rPr>
                <w:sz w:val="20"/>
                <w:szCs w:val="20"/>
              </w:rPr>
              <w:t>Buići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Žbandaj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B1E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8A2B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29D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</w:tr>
      <w:tr w:rsidR="002D253C" w14:paraId="5661099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63C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BC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335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555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5F3A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</w:tr>
      <w:tr w:rsidR="002D253C" w14:paraId="549C065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8B7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819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903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319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B8B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316.500,00</w:t>
            </w:r>
          </w:p>
        </w:tc>
      </w:tr>
      <w:tr w:rsidR="002D253C" w14:paraId="6696C63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04C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23D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K101014 Kružno raskrižje </w:t>
            </w:r>
            <w:proofErr w:type="spellStart"/>
            <w:r>
              <w:rPr>
                <w:sz w:val="20"/>
                <w:szCs w:val="20"/>
              </w:rPr>
              <w:t>I.L.Ribara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Somogy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1D7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372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5DD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2D253C" w14:paraId="2CBEDEE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0B6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8B2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CA2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630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3FA1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2D253C" w14:paraId="1F61286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693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0AE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AC1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4DC9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D4A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3.000,00</w:t>
            </w:r>
          </w:p>
        </w:tc>
      </w:tr>
      <w:tr w:rsidR="002D253C" w14:paraId="5667EBA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6BB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C8E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K101016 Prometnica </w:t>
            </w:r>
            <w:proofErr w:type="spellStart"/>
            <w:r>
              <w:rPr>
                <w:sz w:val="20"/>
                <w:szCs w:val="20"/>
              </w:rPr>
              <w:t>Bašarinka</w:t>
            </w:r>
            <w:proofErr w:type="spellEnd"/>
            <w:r>
              <w:rPr>
                <w:sz w:val="20"/>
                <w:szCs w:val="20"/>
              </w:rPr>
              <w:t xml:space="preserve"> - Kukci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924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01B5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4C4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3D07D3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D15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AE0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A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7F2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A54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778EE4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954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C3C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849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6D87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3DB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71F20CE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D36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310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K101018 Obilaznica Starog Červara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2FB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51B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F76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20FAF2E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E0D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94A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2CE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758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821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FE9E35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E22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037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80C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FE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0228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4B16EC5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9CC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406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K101019 Izgradnja prometnice UPU </w:t>
            </w:r>
            <w:proofErr w:type="spellStart"/>
            <w:r>
              <w:rPr>
                <w:sz w:val="20"/>
                <w:szCs w:val="20"/>
              </w:rPr>
              <w:t>Vergotini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D11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01EA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B8D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647685D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5B67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226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E3D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971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49F0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2552793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A9C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CF2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5CF0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154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-146.500,00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A37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7E4D4F5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943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DC4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K101020 Oborinska odvodnja naselja </w:t>
            </w:r>
            <w:proofErr w:type="spellStart"/>
            <w:r>
              <w:rPr>
                <w:sz w:val="20"/>
                <w:szCs w:val="20"/>
              </w:rPr>
              <w:t>Špadići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18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AA1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77E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7314617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3FE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80A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A5B0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230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B68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6944D09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C95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A24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83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8EE9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01E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1C89365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157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0DB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K101021 Oborinska kanalizacija na više lokacija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ECE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9E4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CD2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</w:tr>
      <w:tr w:rsidR="002D253C" w14:paraId="717132C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C9D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E40F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DF1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420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B4B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80.000,00</w:t>
            </w:r>
          </w:p>
        </w:tc>
      </w:tr>
      <w:tr w:rsidR="002D253C" w14:paraId="280BFAE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1F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0C3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004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BE7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17C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73.300,00</w:t>
            </w:r>
          </w:p>
        </w:tc>
      </w:tr>
      <w:tr w:rsidR="002D253C" w14:paraId="44AB81D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C40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FF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4.6.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597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E2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4C5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</w:tr>
      <w:tr w:rsidR="002D253C" w14:paraId="704ED1C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E00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5F3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K101022 Oborinska odvodnja Mate Vlašića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1E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8302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224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2D253C" w14:paraId="2098457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FDB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18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DBB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5A34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52D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2D253C" w14:paraId="4C36FC8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EE8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4DE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B4D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C4D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485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4.000,00</w:t>
            </w:r>
          </w:p>
        </w:tc>
      </w:tr>
      <w:tr w:rsidR="002D253C" w14:paraId="6F04E81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B9B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FEB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K101023 Oborinska kanalizacija </w:t>
            </w:r>
            <w:proofErr w:type="spellStart"/>
            <w:r>
              <w:rPr>
                <w:sz w:val="20"/>
                <w:szCs w:val="20"/>
              </w:rPr>
              <w:t>Finida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A7B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E5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1B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57CF2E1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993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852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D044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133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F6B9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20A6D3B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7DEA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872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1FF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D67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-133.000,00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1729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02E36A5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F5C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05D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K101024 Oborinska odvodnja naselja </w:t>
            </w:r>
            <w:proofErr w:type="spellStart"/>
            <w:r>
              <w:rPr>
                <w:sz w:val="20"/>
                <w:szCs w:val="20"/>
              </w:rPr>
              <w:t>Dračevac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B29E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551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1D5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</w:tr>
      <w:tr w:rsidR="002D253C" w14:paraId="69A4290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A6B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77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BB2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9FB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BDC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</w:tr>
      <w:tr w:rsidR="002D253C" w14:paraId="192BCDF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70F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E27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B9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24A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805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252.500,00</w:t>
            </w:r>
          </w:p>
        </w:tc>
      </w:tr>
      <w:tr w:rsidR="002D253C" w14:paraId="62C3479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5A2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EA8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K101025 Izrada projekata za komunalnu infrastrukturu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A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06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FB7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</w:tr>
      <w:tr w:rsidR="002D253C" w14:paraId="521081A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741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990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BF8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40D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29D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</w:tr>
      <w:tr w:rsidR="002D253C" w14:paraId="2DFF143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DDF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FC3F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D0F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ABC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467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53.200,00</w:t>
            </w:r>
          </w:p>
        </w:tc>
      </w:tr>
      <w:tr w:rsidR="002D253C" w14:paraId="7242FBE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7DC8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BAC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K101026 Geodetski radovi za komunalnu infrastrukturu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4EE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530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228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</w:tr>
      <w:tr w:rsidR="002D253C" w14:paraId="34EAF2C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26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C8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3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0FC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431E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</w:tr>
      <w:tr w:rsidR="002D253C" w14:paraId="1D2D792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E5B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1EA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CF7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719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005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33.500,00</w:t>
            </w:r>
          </w:p>
        </w:tc>
      </w:tr>
      <w:tr w:rsidR="002D253C" w14:paraId="1AE8639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59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588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K101027 Projekt razvoja infrastrukture širokopojasnog pristupa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2D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3E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351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2D253C" w14:paraId="6EE118A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479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3A1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297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6F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9D8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12.000,00</w:t>
            </w:r>
          </w:p>
        </w:tc>
      </w:tr>
      <w:tr w:rsidR="002D253C" w14:paraId="520BD8C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CBB9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EE7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E2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E9E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C837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5.700,00</w:t>
            </w:r>
          </w:p>
        </w:tc>
      </w:tr>
      <w:tr w:rsidR="002D253C" w14:paraId="5E51C88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0EE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5C8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5.3.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1921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521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9B0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3.600,00</w:t>
            </w:r>
          </w:p>
        </w:tc>
      </w:tr>
      <w:tr w:rsidR="002D253C" w14:paraId="32AE0A9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444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321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5.5. Pomoći iz općinskog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24C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B16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1D4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2.700,00</w:t>
            </w:r>
          </w:p>
        </w:tc>
      </w:tr>
      <w:tr w:rsidR="002D253C" w14:paraId="09AB164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9FA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484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K101028 Evidentiranje nerazvrstanih cesta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878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F7D8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EEB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</w:tr>
      <w:tr w:rsidR="002D253C" w14:paraId="7FDA64A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3A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339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16F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1369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8C49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</w:tr>
      <w:tr w:rsidR="002D253C" w14:paraId="7D111DF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B41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E74C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EC8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0F1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3A8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26.600,00</w:t>
            </w:r>
          </w:p>
        </w:tc>
      </w:tr>
      <w:tr w:rsidR="002D253C" w14:paraId="6D7CF94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6D2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B56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K101029 Izrada evidencija komunalne infrastrukture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325C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48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229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</w:tr>
      <w:tr w:rsidR="002D253C" w14:paraId="459FA85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FD0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AD6E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E13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FD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620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</w:tr>
      <w:tr w:rsidR="002D253C" w14:paraId="1DD4442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91C5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2B8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99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F46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14D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16.600,00</w:t>
            </w:r>
          </w:p>
        </w:tc>
      </w:tr>
      <w:tr w:rsidR="002D253C" w14:paraId="34B337E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FB7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A44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K101031 Rekonstrukcija D302 - ulaz Varvari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EDE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494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15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</w:tr>
      <w:tr w:rsidR="002D253C" w14:paraId="61A5667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42C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A0E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272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87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A0E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</w:tr>
      <w:tr w:rsidR="002D253C" w14:paraId="2F42A09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915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9ED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1E4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B6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44C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27.000,00</w:t>
            </w:r>
          </w:p>
        </w:tc>
      </w:tr>
      <w:tr w:rsidR="002D253C" w14:paraId="2DFE80C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8949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8E10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K101032 Rekonstrukcija ceste Radmani - </w:t>
            </w:r>
            <w:proofErr w:type="spellStart"/>
            <w:r>
              <w:rPr>
                <w:sz w:val="20"/>
                <w:szCs w:val="20"/>
              </w:rPr>
              <w:t>Dračevac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DE5F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254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CE7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</w:tr>
      <w:tr w:rsidR="002D253C" w14:paraId="21E85E2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06B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868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E62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531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75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</w:tr>
      <w:tr w:rsidR="002D253C" w14:paraId="7EC258F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6A7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399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48B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800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2CB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</w:tr>
      <w:tr w:rsidR="002D253C" w14:paraId="382163E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2E6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43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K101033 Kružno raskrižje Mauro </w:t>
            </w:r>
            <w:proofErr w:type="spellStart"/>
            <w:r>
              <w:rPr>
                <w:sz w:val="20"/>
                <w:szCs w:val="20"/>
              </w:rPr>
              <w:t>Gioseffi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46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8E9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12CD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</w:tr>
      <w:tr w:rsidR="002D253C" w14:paraId="0249E66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40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9FF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FB54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F0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D935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</w:tr>
      <w:tr w:rsidR="002D253C" w14:paraId="621BED4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55B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F65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982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4E7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4ACF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270.000,00</w:t>
            </w:r>
          </w:p>
        </w:tc>
      </w:tr>
      <w:tr w:rsidR="002D253C" w14:paraId="6E1D880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B629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F68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K101034 </w:t>
            </w:r>
            <w:proofErr w:type="spellStart"/>
            <w:r>
              <w:rPr>
                <w:sz w:val="20"/>
                <w:szCs w:val="20"/>
              </w:rPr>
              <w:t>Rasktižje</w:t>
            </w:r>
            <w:proofErr w:type="spellEnd"/>
            <w:r>
              <w:rPr>
                <w:sz w:val="20"/>
                <w:szCs w:val="20"/>
              </w:rPr>
              <w:t xml:space="preserve"> Centar 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567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84B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718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2D253C" w14:paraId="173A21C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564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CFD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24A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076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766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2D253C" w14:paraId="14C5B26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0A1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E7A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B11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7FA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B0E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50.000,00</w:t>
            </w:r>
          </w:p>
        </w:tc>
      </w:tr>
      <w:tr w:rsidR="002D253C" w14:paraId="0265D438" w14:textId="77777777" w:rsidTr="00C1770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746E" w14:textId="33C3C03B" w:rsidR="002D253C" w:rsidRDefault="002D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9DB1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6159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4.250.100,00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6933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-686.776,00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984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3.563.324,00</w:t>
            </w:r>
          </w:p>
        </w:tc>
      </w:tr>
      <w:tr w:rsidR="002D253C" w14:paraId="26B06D26" w14:textId="77777777" w:rsidTr="002D253C">
        <w:trPr>
          <w:trHeight w:val="660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B22B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FA41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JAVNE POVRŠINE NA KOJIMA NIJE DOPUŠTEN PROMET MOTORNIH VOZILA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5C70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253C" w14:paraId="7DE0A64A" w14:textId="77777777" w:rsidTr="002D253C">
        <w:trPr>
          <w:trHeight w:val="52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00FA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D2D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3F79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BA4E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28C4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2D253C" w14:paraId="0506B28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62D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929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K102001 Pješačko biciklističke staze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A04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68D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C2C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635441F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85A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0CA2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8B48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18D6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BE3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631CB1D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7AD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843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3B1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F1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7B5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78AA45D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80F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66F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K102002 Rekonstrukcija Trga </w:t>
            </w:r>
            <w:proofErr w:type="spellStart"/>
            <w:r>
              <w:rPr>
                <w:sz w:val="20"/>
                <w:szCs w:val="20"/>
              </w:rPr>
              <w:t>Marafor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F1A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E73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CDA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7E7CBD7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783C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6E9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760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452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0D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6A80AF8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A94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701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3E5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E09C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77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133.000,00</w:t>
            </w:r>
          </w:p>
        </w:tc>
      </w:tr>
      <w:tr w:rsidR="002D253C" w14:paraId="5CD4FFC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8C9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C501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K102003 Rekonstrukcija Pučkog trga u Červar 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A1A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D3DD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E66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D253C" w14:paraId="2F1241A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C49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AC2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F8C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F03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781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D253C" w14:paraId="420A67E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E5C7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350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0C8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9A9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BDF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D253C" w14:paraId="49E3CD6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B59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D23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K102004 Rekonstrukcija Trga sidro u Červar Portu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C98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D3F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8DD7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73.500,00</w:t>
            </w:r>
          </w:p>
        </w:tc>
      </w:tr>
      <w:tr w:rsidR="002D253C" w14:paraId="3CFFFA5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DFB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DCD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BB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B69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149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73.500,00</w:t>
            </w:r>
          </w:p>
        </w:tc>
      </w:tr>
      <w:tr w:rsidR="002D253C" w14:paraId="0ABCC29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39D6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F19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667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45B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E41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73.500,00</w:t>
            </w:r>
          </w:p>
        </w:tc>
      </w:tr>
      <w:tr w:rsidR="002D253C" w14:paraId="74852BF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6EC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4697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K102005 Pješačko biciklistička staza Nova Vas - Kukci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EC0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438B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-981.000,00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51A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15.500,00</w:t>
            </w:r>
          </w:p>
        </w:tc>
      </w:tr>
      <w:tr w:rsidR="002D253C" w14:paraId="548193D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399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189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F6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FDD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-981.000,00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F04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15.500,00</w:t>
            </w:r>
          </w:p>
        </w:tc>
      </w:tr>
      <w:tr w:rsidR="002D253C" w14:paraId="32D867E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21E0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30A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A0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D7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EC42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15.500,00</w:t>
            </w:r>
          </w:p>
        </w:tc>
      </w:tr>
      <w:tr w:rsidR="002D253C" w14:paraId="5361C14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0C2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DCD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5.3. Pomoći iz državnog proračuna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893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AE2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-930.000,00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8CA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7E624B0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6A8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9D8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K102006 Uređenje Trga Mate Balota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02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AE9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A00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2D253C" w14:paraId="063F7C7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DEE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322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49F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A67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978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2D253C" w14:paraId="175A371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102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BA3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376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547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84DB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2D253C" w14:paraId="2511967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CCA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4E4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K102007 Pješačko biciklistička staza </w:t>
            </w:r>
            <w:proofErr w:type="spellStart"/>
            <w:r>
              <w:rPr>
                <w:sz w:val="20"/>
                <w:szCs w:val="20"/>
              </w:rPr>
              <w:t>Bašarinka</w:t>
            </w:r>
            <w:proofErr w:type="spellEnd"/>
            <w:r>
              <w:rPr>
                <w:sz w:val="20"/>
                <w:szCs w:val="20"/>
              </w:rPr>
              <w:t xml:space="preserve"> - Veli Maj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411F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3E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761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3CE3665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36F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4C2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D39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187B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651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67B2C4A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236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97B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CA0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754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0A1F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2EDB9E1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ADA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088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K102008 Pješačko biciklistička staza </w:t>
            </w:r>
            <w:proofErr w:type="spellStart"/>
            <w:r>
              <w:rPr>
                <w:sz w:val="20"/>
                <w:szCs w:val="20"/>
              </w:rPr>
              <w:t>Žbandaj</w:t>
            </w:r>
            <w:proofErr w:type="spellEnd"/>
            <w:r>
              <w:rPr>
                <w:sz w:val="20"/>
                <w:szCs w:val="20"/>
              </w:rPr>
              <w:t xml:space="preserve"> - Radmani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197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4909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F10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3BCB1A7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E4C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68A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DF8B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C44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717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0B09F8D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872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4AD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329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707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8C7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160.000,00</w:t>
            </w:r>
          </w:p>
        </w:tc>
      </w:tr>
      <w:tr w:rsidR="002D253C" w14:paraId="72D9DF4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25C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01D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K102009 Pješačko biciklistička staza Mornarica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FC0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91F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CE9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2BB955C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7B83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842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9CE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E24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4C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5447D72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BAD2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5C9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F93A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12A0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B11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E4C5DD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619E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D2B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K102101 Uređenje gradskih plaža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614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3CA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A3E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2105829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CBE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A7A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5F6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DE2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D2B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54CED3C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95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AFC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FCE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4BF5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915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66.500,00</w:t>
            </w:r>
          </w:p>
        </w:tc>
      </w:tr>
      <w:tr w:rsidR="002D253C" w14:paraId="618607C0" w14:textId="77777777" w:rsidTr="00C1770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EA90C" w14:textId="0C83B502" w:rsidR="002D253C" w:rsidRDefault="002D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F697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F8C4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1.794.000,00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3F0F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-1.245.500,00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03B5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548.500,00</w:t>
            </w:r>
          </w:p>
        </w:tc>
      </w:tr>
      <w:tr w:rsidR="002D253C" w14:paraId="2619E511" w14:textId="77777777" w:rsidTr="002D253C">
        <w:trPr>
          <w:trHeight w:val="660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4382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FD1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JAVNA PARKIRALIŠTA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D56B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49D1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C84A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253C" w14:paraId="21764B14" w14:textId="77777777" w:rsidTr="002D253C">
        <w:trPr>
          <w:trHeight w:val="52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451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CAC9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2EF3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0761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EBAF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2D253C" w14:paraId="2CDE439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B021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7B8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K103001 Parkiralište u ulici Baldini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CD3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B08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-139.690,00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834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2D253C" w14:paraId="16F050E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855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4F1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1D0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259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-139.690,00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99C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2D253C" w14:paraId="7719956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CE5A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AD1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A73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007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-139.690,00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536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310,00</w:t>
            </w:r>
          </w:p>
        </w:tc>
      </w:tr>
      <w:tr w:rsidR="002D253C" w14:paraId="36D5153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6BC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6EE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K103002 Parkiralište u ulici Bruno </w:t>
            </w:r>
            <w:proofErr w:type="spellStart"/>
            <w:r>
              <w:rPr>
                <w:sz w:val="20"/>
                <w:szCs w:val="20"/>
              </w:rPr>
              <w:t>Valenti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DFE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582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EBA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</w:tr>
      <w:tr w:rsidR="002D253C" w14:paraId="43DD947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3F1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F141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8B6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CE3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998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</w:tr>
      <w:tr w:rsidR="002D253C" w14:paraId="125DE66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10C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F4E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7F7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80E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-385.000,00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A4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65.000,00</w:t>
            </w:r>
          </w:p>
        </w:tc>
      </w:tr>
      <w:tr w:rsidR="002D253C" w14:paraId="2C4B5A1E" w14:textId="77777777" w:rsidTr="00C1770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D92A7" w14:textId="1F975AD1" w:rsidR="002D253C" w:rsidRDefault="002D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D35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CA3F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8B02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-524.690,00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A771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65.310,00</w:t>
            </w:r>
          </w:p>
        </w:tc>
      </w:tr>
      <w:tr w:rsidR="002D253C" w14:paraId="4EEF443F" w14:textId="77777777" w:rsidTr="002D253C">
        <w:trPr>
          <w:trHeight w:val="660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CEFF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F948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JAVNE ZELENE POVRŠINE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0D94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D40E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FC75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253C" w14:paraId="18BB9E54" w14:textId="77777777" w:rsidTr="002D253C">
        <w:trPr>
          <w:trHeight w:val="52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1774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8C91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5ED6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E826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BA51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2D253C" w14:paraId="42C2C55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BB6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614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K104001 Nabava igrala za dječja igrališta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20D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7A1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E2E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</w:tr>
      <w:tr w:rsidR="002D253C" w14:paraId="56F867F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5E4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315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B4B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ED5E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187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</w:tr>
      <w:tr w:rsidR="002D253C" w14:paraId="2F068AA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93C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1F18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963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76A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6D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</w:tr>
      <w:tr w:rsidR="002D253C" w14:paraId="73ED8A97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1695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8F3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K104002 Uređenja po naselju - komunalne akcije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066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79B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129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120.000,00</w:t>
            </w:r>
          </w:p>
        </w:tc>
      </w:tr>
      <w:tr w:rsidR="002D253C" w14:paraId="0E09B03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AB3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D15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D5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C2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9B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30.500,00</w:t>
            </w:r>
          </w:p>
        </w:tc>
      </w:tr>
      <w:tr w:rsidR="002D253C" w14:paraId="703D866E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263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9E075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4AA5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A5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-29.500,00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BEF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30.500,00</w:t>
            </w:r>
          </w:p>
        </w:tc>
      </w:tr>
      <w:tr w:rsidR="002D253C" w14:paraId="667EB8E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B2A7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DE7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314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891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4EA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2D253C" w14:paraId="7D6A4A99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9F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EC9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66D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431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7BE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13.000,00</w:t>
            </w:r>
          </w:p>
        </w:tc>
      </w:tr>
      <w:tr w:rsidR="002D253C" w14:paraId="364A9C4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CDA6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16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B31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192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E12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53.000,00</w:t>
            </w:r>
          </w:p>
        </w:tc>
      </w:tr>
      <w:tr w:rsidR="002D253C" w14:paraId="5D3182E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BA4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7DB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D8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0E8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1338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53.000,00</w:t>
            </w:r>
          </w:p>
        </w:tc>
      </w:tr>
      <w:tr w:rsidR="002D253C" w14:paraId="79C1646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A3B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05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76E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BAAE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8585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</w:tr>
      <w:tr w:rsidR="002D253C" w14:paraId="7B1C385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E39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BF3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A28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F15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-5.800,00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6DB6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2.200,00</w:t>
            </w:r>
          </w:p>
        </w:tc>
      </w:tr>
      <w:tr w:rsidR="002D253C" w14:paraId="7E01E07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47D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5A8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BA8D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F1C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6FE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12.800,00</w:t>
            </w:r>
          </w:p>
        </w:tc>
      </w:tr>
      <w:tr w:rsidR="002D253C" w14:paraId="4B0921FC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0A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ED7D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9C3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DE1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ED7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12.800,00</w:t>
            </w:r>
          </w:p>
        </w:tc>
      </w:tr>
      <w:tr w:rsidR="002D253C" w14:paraId="25422E4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911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9A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12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E6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DCC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8.500,00</w:t>
            </w:r>
          </w:p>
        </w:tc>
      </w:tr>
      <w:tr w:rsidR="002D253C" w14:paraId="3310E95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578C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A21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15C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741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79A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8.500,00</w:t>
            </w:r>
          </w:p>
        </w:tc>
      </w:tr>
      <w:tr w:rsidR="002D253C" w14:paraId="4FC17A7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B1D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C17A" w14:textId="3F860DAC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K104004 Teretane na otvore</w:t>
            </w:r>
            <w:r w:rsidR="004E2BD3">
              <w:rPr>
                <w:sz w:val="20"/>
                <w:szCs w:val="20"/>
              </w:rPr>
              <w:t>nom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318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B11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20F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0A46252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54103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8F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E72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F12C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B60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7CC409A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D689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1F8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957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207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697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20.000,00</w:t>
            </w:r>
          </w:p>
        </w:tc>
      </w:tr>
      <w:tr w:rsidR="002D253C" w14:paraId="3965D42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8586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1E6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Kapitalni projekt K104005 Izgradnja sportskog igrališta St. </w:t>
            </w:r>
            <w:proofErr w:type="spellStart"/>
            <w:r>
              <w:rPr>
                <w:sz w:val="20"/>
                <w:szCs w:val="20"/>
              </w:rPr>
              <w:t>Vergotini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1C2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C9A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9E79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7783EAA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EA7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7F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DE4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2C6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467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2546D59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AA5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E2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7.1. Prihodi od prodaje nefinancijske imovine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91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98B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E5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3.500,00</w:t>
            </w:r>
          </w:p>
        </w:tc>
      </w:tr>
      <w:tr w:rsidR="002D253C" w14:paraId="59F7B14E" w14:textId="77777777" w:rsidTr="00C1770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28B1" w14:textId="135ADB2F" w:rsidR="002D253C" w:rsidRDefault="002D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E24C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48D6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143.700,00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E21AB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23.800,00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E747C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167.500,00</w:t>
            </w:r>
          </w:p>
        </w:tc>
      </w:tr>
      <w:tr w:rsidR="002D253C" w14:paraId="03336EFF" w14:textId="77777777" w:rsidTr="002D253C">
        <w:trPr>
          <w:trHeight w:val="660"/>
        </w:trPr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9EBA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167B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JAVNA RASVJETA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4A45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21ED6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5C13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253C" w14:paraId="732246A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FB2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Red. br.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6F50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0CE8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Iznos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E6A4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Promjena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EA8E" w14:textId="77777777" w:rsidR="002D253C" w:rsidRDefault="002D253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Novi iznos</w:t>
            </w:r>
          </w:p>
        </w:tc>
      </w:tr>
      <w:tr w:rsidR="002D253C" w14:paraId="31B1F0C3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CE19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61F0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K105001 Izgradnja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09DC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73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CA8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370.000,00</w:t>
            </w:r>
          </w:p>
        </w:tc>
      </w:tr>
      <w:tr w:rsidR="002D253C" w14:paraId="472AAFD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3545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5609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531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64B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29B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226.000,00</w:t>
            </w:r>
          </w:p>
        </w:tc>
      </w:tr>
      <w:tr w:rsidR="002D253C" w14:paraId="3641E4B6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8F97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6E7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ED60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3A8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921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226.000,00</w:t>
            </w:r>
          </w:p>
        </w:tc>
      </w:tr>
      <w:tr w:rsidR="002D253C" w14:paraId="2262B8E8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FD7D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E02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1701 MJESNI ODBOR BADERNA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DC3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EB5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915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FCF16C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714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17D57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4B5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650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880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D253C" w14:paraId="11F25FE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9F74E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166D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1801 MJESNI ODBOR ŽBANDAJ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246F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F1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68A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2D253C" w14:paraId="5F4DA28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850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94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068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A62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385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7.000,00</w:t>
            </w:r>
          </w:p>
        </w:tc>
      </w:tr>
      <w:tr w:rsidR="002D253C" w14:paraId="7C8D7B2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7E0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288A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1901 MJESNI ODBOR FUŠKULIN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06F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A4A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498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2D253C" w14:paraId="4C9DF79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93B4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3DD4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4E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AEF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807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45.000,00</w:t>
            </w:r>
          </w:p>
        </w:tc>
      </w:tr>
      <w:tr w:rsidR="002D253C" w14:paraId="3EADDE5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BD2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AF6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2001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958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1D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224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63.000,00</w:t>
            </w:r>
          </w:p>
        </w:tc>
      </w:tr>
      <w:tr w:rsidR="002D253C" w14:paraId="57CE285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72E1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A9B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C68A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813C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9BB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63.000,00</w:t>
            </w:r>
          </w:p>
        </w:tc>
      </w:tr>
      <w:tr w:rsidR="002D253C" w14:paraId="509DB074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B88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E73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2101 MJESNI ODBOR VRVARI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AF62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FA4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27B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29.000,00</w:t>
            </w:r>
          </w:p>
        </w:tc>
      </w:tr>
      <w:tr w:rsidR="002D253C" w14:paraId="2B01587B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356C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3D8F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822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A92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13FB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29.000,00</w:t>
            </w:r>
          </w:p>
        </w:tc>
      </w:tr>
      <w:tr w:rsidR="002D253C" w14:paraId="0D7E17C2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276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131A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K105002 Rekonstrukcija javne rasvjete Červar Porat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92C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1A2A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86E1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59.000,00</w:t>
            </w:r>
          </w:p>
        </w:tc>
      </w:tr>
      <w:tr w:rsidR="002D253C" w14:paraId="40EADBCD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172D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FE332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95A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DF9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7A4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59.000,00</w:t>
            </w:r>
          </w:p>
        </w:tc>
      </w:tr>
      <w:tr w:rsidR="002D253C" w14:paraId="2DA057D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1CAB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93C1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1F7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F59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882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59.000,00</w:t>
            </w:r>
          </w:p>
        </w:tc>
      </w:tr>
      <w:tr w:rsidR="002D253C" w14:paraId="5E946C8A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BF7A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B7B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K105003 Modernizacija javne rasvjete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906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5315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09E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</w:tr>
      <w:tr w:rsidR="002D253C" w14:paraId="09E3117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C0B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35EB0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772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BFE9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92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550.000,00</w:t>
            </w:r>
          </w:p>
        </w:tc>
      </w:tr>
      <w:tr w:rsidR="002D253C" w14:paraId="35ACCF05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01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AEF7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F19C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B78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79D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122.850,00</w:t>
            </w:r>
          </w:p>
        </w:tc>
      </w:tr>
      <w:tr w:rsidR="002D253C" w14:paraId="40BF92E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BDF8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AB40E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8.1. Primici od zaduživanja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3236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132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1788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427.150,00</w:t>
            </w:r>
          </w:p>
        </w:tc>
      </w:tr>
      <w:tr w:rsidR="002D253C" w14:paraId="48B6DD30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6662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6A43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Kapitalni projekt K105004 Rekonstrukcija javne rasvjete Obala dr. Ante Šonje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49B4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758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88EB0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2D253C" w14:paraId="646A1E11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05FD1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A58C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Odjel  1601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D6C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9837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33CA3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2D253C" w14:paraId="64E05B0F" w14:textId="77777777" w:rsidTr="002D253C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5EBF" w14:textId="77777777" w:rsidR="002D253C" w:rsidRDefault="002D25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FA6CB" w14:textId="77777777" w:rsidR="002D253C" w:rsidRDefault="002D25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Izvor  4.3. Komunalni doprinosi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E98AE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2A5F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-244.000,00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4C5D" w14:textId="77777777" w:rsidR="002D253C" w:rsidRDefault="002D253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6.000,00</w:t>
            </w:r>
          </w:p>
        </w:tc>
      </w:tr>
      <w:tr w:rsidR="002D253C" w14:paraId="5A011F17" w14:textId="77777777" w:rsidTr="00C17700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22F09" w14:textId="25218E3F" w:rsidR="002D253C" w:rsidRDefault="002D25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24EA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0B23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1.261.000,00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074C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-276.000,00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B052" w14:textId="77777777" w:rsidR="002D253C" w:rsidRDefault="002D253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985.000,00</w:t>
            </w:r>
          </w:p>
        </w:tc>
      </w:tr>
    </w:tbl>
    <w:p w14:paraId="5AB5AE71" w14:textId="77777777" w:rsidR="00613542" w:rsidRPr="007872DC" w:rsidRDefault="00613542" w:rsidP="00613542">
      <w:pPr>
        <w:rPr>
          <w:sz w:val="22"/>
          <w:szCs w:val="22"/>
        </w:rPr>
      </w:pPr>
    </w:p>
    <w:p w14:paraId="08110E86" w14:textId="77777777" w:rsidR="00475A0D" w:rsidRDefault="00475A0D" w:rsidP="00613542">
      <w:pPr>
        <w:rPr>
          <w:sz w:val="22"/>
          <w:szCs w:val="22"/>
        </w:rPr>
      </w:pPr>
    </w:p>
    <w:p w14:paraId="0F33901C" w14:textId="77777777" w:rsidR="00613542" w:rsidRPr="009A32B2" w:rsidRDefault="00613542" w:rsidP="00613542">
      <w:pPr>
        <w:jc w:val="center"/>
        <w:outlineLvl w:val="0"/>
        <w:rPr>
          <w:b/>
          <w:sz w:val="22"/>
          <w:szCs w:val="22"/>
        </w:rPr>
      </w:pPr>
      <w:r w:rsidRPr="009A32B2">
        <w:rPr>
          <w:b/>
          <w:sz w:val="22"/>
          <w:szCs w:val="22"/>
        </w:rPr>
        <w:t>Članak 2.</w:t>
      </w:r>
    </w:p>
    <w:p w14:paraId="482C42C3" w14:textId="407C233E" w:rsidR="00613542" w:rsidRPr="007872DC" w:rsidRDefault="00613542" w:rsidP="00613542">
      <w:pPr>
        <w:rPr>
          <w:sz w:val="22"/>
          <w:szCs w:val="22"/>
        </w:rPr>
      </w:pPr>
      <w:r>
        <w:rPr>
          <w:sz w:val="22"/>
          <w:szCs w:val="22"/>
        </w:rPr>
        <w:t>Članak 3. mijenja se i glasi:</w:t>
      </w:r>
    </w:p>
    <w:p w14:paraId="6509FC58" w14:textId="77777777" w:rsidR="00613542" w:rsidRPr="007872DC" w:rsidRDefault="00613542" w:rsidP="00613542">
      <w:pPr>
        <w:jc w:val="both"/>
        <w:outlineLvl w:val="0"/>
        <w:rPr>
          <w:sz w:val="22"/>
          <w:szCs w:val="22"/>
        </w:rPr>
      </w:pPr>
      <w:r w:rsidRPr="007872DC">
        <w:rPr>
          <w:sz w:val="22"/>
          <w:szCs w:val="22"/>
        </w:rPr>
        <w:t>Rekapitulacija građenja komunalne infrastrukture po pojedinim stavkama iznosi:</w:t>
      </w:r>
    </w:p>
    <w:tbl>
      <w:tblPr>
        <w:tblStyle w:val="Reetkatablice"/>
        <w:tblW w:w="9493" w:type="dxa"/>
        <w:tblLayout w:type="fixed"/>
        <w:tblLook w:val="04A0" w:firstRow="1" w:lastRow="0" w:firstColumn="1" w:lastColumn="0" w:noHBand="0" w:noVBand="1"/>
      </w:tblPr>
      <w:tblGrid>
        <w:gridCol w:w="846"/>
        <w:gridCol w:w="4394"/>
        <w:gridCol w:w="1418"/>
        <w:gridCol w:w="1559"/>
        <w:gridCol w:w="1276"/>
      </w:tblGrid>
      <w:tr w:rsidR="006B68F2" w:rsidRPr="007872DC" w14:paraId="22D8E370" w14:textId="77777777" w:rsidTr="002D253C">
        <w:tc>
          <w:tcPr>
            <w:tcW w:w="846" w:type="dxa"/>
            <w:vAlign w:val="center"/>
          </w:tcPr>
          <w:p w14:paraId="4B229D13" w14:textId="77777777" w:rsidR="006B68F2" w:rsidRPr="007872DC" w:rsidRDefault="006B68F2" w:rsidP="006B68F2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2DC">
              <w:rPr>
                <w:b/>
                <w:bCs/>
                <w:color w:val="000000"/>
                <w:sz w:val="22"/>
                <w:szCs w:val="22"/>
              </w:rPr>
              <w:t>Red. Br.</w:t>
            </w:r>
          </w:p>
        </w:tc>
        <w:tc>
          <w:tcPr>
            <w:tcW w:w="4394" w:type="dxa"/>
            <w:vAlign w:val="center"/>
          </w:tcPr>
          <w:p w14:paraId="09F0CB54" w14:textId="77777777" w:rsidR="006B68F2" w:rsidRPr="007872DC" w:rsidRDefault="006B68F2" w:rsidP="006B68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2DC">
              <w:rPr>
                <w:b/>
                <w:bCs/>
                <w:color w:val="000000"/>
                <w:sz w:val="22"/>
                <w:szCs w:val="22"/>
              </w:rPr>
              <w:t>Komunalna infrastruktura</w:t>
            </w:r>
          </w:p>
        </w:tc>
        <w:tc>
          <w:tcPr>
            <w:tcW w:w="1418" w:type="dxa"/>
            <w:vAlign w:val="center"/>
          </w:tcPr>
          <w:p w14:paraId="75B51ECB" w14:textId="77777777" w:rsidR="006B68F2" w:rsidRPr="007872DC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72DC">
              <w:rPr>
                <w:b/>
                <w:bCs/>
                <w:color w:val="000000"/>
                <w:sz w:val="22"/>
                <w:szCs w:val="22"/>
              </w:rPr>
              <w:t>Iznos</w:t>
            </w:r>
          </w:p>
        </w:tc>
        <w:tc>
          <w:tcPr>
            <w:tcW w:w="1559" w:type="dxa"/>
            <w:vAlign w:val="center"/>
          </w:tcPr>
          <w:p w14:paraId="406B4450" w14:textId="59B6756C" w:rsidR="006B68F2" w:rsidRPr="007872DC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2BE7">
              <w:rPr>
                <w:b/>
                <w:bCs/>
                <w:color w:val="000000"/>
                <w:sz w:val="20"/>
                <w:szCs w:val="20"/>
              </w:rPr>
              <w:t>Promjena</w:t>
            </w:r>
          </w:p>
        </w:tc>
        <w:tc>
          <w:tcPr>
            <w:tcW w:w="1276" w:type="dxa"/>
            <w:vAlign w:val="center"/>
          </w:tcPr>
          <w:p w14:paraId="6E28808F" w14:textId="375AA11F" w:rsidR="006B68F2" w:rsidRPr="007872DC" w:rsidRDefault="006B68F2" w:rsidP="006B68F2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92BE7">
              <w:rPr>
                <w:b/>
                <w:bCs/>
                <w:color w:val="000000"/>
                <w:sz w:val="20"/>
                <w:szCs w:val="20"/>
              </w:rPr>
              <w:t>Novi iznos</w:t>
            </w:r>
          </w:p>
        </w:tc>
      </w:tr>
      <w:tr w:rsidR="002D253C" w:rsidRPr="007872DC" w14:paraId="68C6445F" w14:textId="77777777" w:rsidTr="002D253C">
        <w:tc>
          <w:tcPr>
            <w:tcW w:w="846" w:type="dxa"/>
          </w:tcPr>
          <w:p w14:paraId="759A1255" w14:textId="77777777" w:rsidR="002D253C" w:rsidRPr="007872DC" w:rsidRDefault="002D253C" w:rsidP="002D253C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32BE2E22" w14:textId="77777777" w:rsidR="002D253C" w:rsidRPr="007872DC" w:rsidRDefault="002D253C" w:rsidP="002D253C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>Nerazvrstane ceste</w:t>
            </w:r>
          </w:p>
        </w:tc>
        <w:tc>
          <w:tcPr>
            <w:tcW w:w="1418" w:type="dxa"/>
            <w:vAlign w:val="center"/>
          </w:tcPr>
          <w:p w14:paraId="44FC8D84" w14:textId="63340991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4.250.100,00</w:t>
            </w:r>
          </w:p>
        </w:tc>
        <w:tc>
          <w:tcPr>
            <w:tcW w:w="1559" w:type="dxa"/>
            <w:vAlign w:val="center"/>
          </w:tcPr>
          <w:p w14:paraId="27CDDF84" w14:textId="5E5FECB2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-686.776,00</w:t>
            </w:r>
          </w:p>
        </w:tc>
        <w:tc>
          <w:tcPr>
            <w:tcW w:w="1276" w:type="dxa"/>
            <w:vAlign w:val="center"/>
          </w:tcPr>
          <w:p w14:paraId="20048746" w14:textId="21084D85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3.563.324,00</w:t>
            </w:r>
          </w:p>
        </w:tc>
      </w:tr>
      <w:tr w:rsidR="002D253C" w:rsidRPr="007872DC" w14:paraId="4B8C335B" w14:textId="77777777" w:rsidTr="002D253C">
        <w:trPr>
          <w:trHeight w:val="202"/>
        </w:trPr>
        <w:tc>
          <w:tcPr>
            <w:tcW w:w="846" w:type="dxa"/>
          </w:tcPr>
          <w:p w14:paraId="1939D658" w14:textId="77777777" w:rsidR="002D253C" w:rsidRPr="007872DC" w:rsidRDefault="002D253C" w:rsidP="002D253C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5AE09BAC" w14:textId="77777777" w:rsidR="002D253C" w:rsidRPr="007872DC" w:rsidRDefault="002D253C" w:rsidP="002D253C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>Javne površine na kojima nije dopušten promet motornih vozila</w:t>
            </w:r>
          </w:p>
        </w:tc>
        <w:tc>
          <w:tcPr>
            <w:tcW w:w="1418" w:type="dxa"/>
            <w:vAlign w:val="center"/>
          </w:tcPr>
          <w:p w14:paraId="75C10E0B" w14:textId="5692AD86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1.794.000,00</w:t>
            </w:r>
          </w:p>
        </w:tc>
        <w:tc>
          <w:tcPr>
            <w:tcW w:w="1559" w:type="dxa"/>
            <w:vAlign w:val="center"/>
          </w:tcPr>
          <w:p w14:paraId="0A449FCE" w14:textId="5417CF16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-1.245.500,00</w:t>
            </w:r>
          </w:p>
        </w:tc>
        <w:tc>
          <w:tcPr>
            <w:tcW w:w="1276" w:type="dxa"/>
            <w:vAlign w:val="center"/>
          </w:tcPr>
          <w:p w14:paraId="05B35338" w14:textId="30705DED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548.500,00</w:t>
            </w:r>
          </w:p>
        </w:tc>
      </w:tr>
      <w:tr w:rsidR="002D253C" w:rsidRPr="007872DC" w14:paraId="6B42F31E" w14:textId="77777777" w:rsidTr="002D253C">
        <w:trPr>
          <w:trHeight w:val="202"/>
        </w:trPr>
        <w:tc>
          <w:tcPr>
            <w:tcW w:w="846" w:type="dxa"/>
          </w:tcPr>
          <w:p w14:paraId="5C9B03BF" w14:textId="77777777" w:rsidR="002D253C" w:rsidRPr="007872DC" w:rsidRDefault="002D253C" w:rsidP="002D253C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41EBA07C" w14:textId="77777777" w:rsidR="002D253C" w:rsidRPr="007872DC" w:rsidRDefault="002D253C" w:rsidP="002D253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Javna parkirališta</w:t>
            </w:r>
          </w:p>
        </w:tc>
        <w:tc>
          <w:tcPr>
            <w:tcW w:w="1418" w:type="dxa"/>
            <w:vAlign w:val="center"/>
          </w:tcPr>
          <w:p w14:paraId="077896AF" w14:textId="61D02C41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590.000,00</w:t>
            </w:r>
          </w:p>
        </w:tc>
        <w:tc>
          <w:tcPr>
            <w:tcW w:w="1559" w:type="dxa"/>
            <w:vAlign w:val="center"/>
          </w:tcPr>
          <w:p w14:paraId="38395EB0" w14:textId="0A3EADAE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-524.690,00</w:t>
            </w:r>
          </w:p>
        </w:tc>
        <w:tc>
          <w:tcPr>
            <w:tcW w:w="1276" w:type="dxa"/>
            <w:vAlign w:val="center"/>
          </w:tcPr>
          <w:p w14:paraId="0BF258BD" w14:textId="2199AD8D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65.310,00</w:t>
            </w:r>
          </w:p>
        </w:tc>
      </w:tr>
      <w:tr w:rsidR="002D253C" w:rsidRPr="007872DC" w14:paraId="067A1087" w14:textId="77777777" w:rsidTr="002D253C">
        <w:tc>
          <w:tcPr>
            <w:tcW w:w="846" w:type="dxa"/>
          </w:tcPr>
          <w:p w14:paraId="0275C967" w14:textId="77777777" w:rsidR="002D253C" w:rsidRPr="007872DC" w:rsidRDefault="002D253C" w:rsidP="002D253C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14:paraId="7BBC1F80" w14:textId="77777777" w:rsidR="002D253C" w:rsidRPr="007872DC" w:rsidRDefault="002D253C" w:rsidP="002D253C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>Javne zelene površine</w:t>
            </w:r>
          </w:p>
        </w:tc>
        <w:tc>
          <w:tcPr>
            <w:tcW w:w="1418" w:type="dxa"/>
            <w:vAlign w:val="center"/>
          </w:tcPr>
          <w:p w14:paraId="7B115C59" w14:textId="1FA3BCB0" w:rsidR="002D253C" w:rsidRPr="002D253C" w:rsidRDefault="002D253C" w:rsidP="002D253C">
            <w:pPr>
              <w:jc w:val="right"/>
              <w:rPr>
                <w:color w:val="000000"/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143.700,00</w:t>
            </w:r>
          </w:p>
        </w:tc>
        <w:tc>
          <w:tcPr>
            <w:tcW w:w="1559" w:type="dxa"/>
            <w:vAlign w:val="center"/>
          </w:tcPr>
          <w:p w14:paraId="6410B3FF" w14:textId="678A63D5" w:rsidR="002D253C" w:rsidRPr="002D253C" w:rsidRDefault="002D253C" w:rsidP="002D253C">
            <w:pPr>
              <w:jc w:val="right"/>
              <w:rPr>
                <w:color w:val="000000"/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23.800,00</w:t>
            </w:r>
          </w:p>
        </w:tc>
        <w:tc>
          <w:tcPr>
            <w:tcW w:w="1276" w:type="dxa"/>
            <w:vAlign w:val="center"/>
          </w:tcPr>
          <w:p w14:paraId="6FD62C9A" w14:textId="4324CF8D" w:rsidR="002D253C" w:rsidRPr="002D253C" w:rsidRDefault="002D253C" w:rsidP="002D253C">
            <w:pPr>
              <w:jc w:val="right"/>
              <w:rPr>
                <w:color w:val="000000"/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167.500,00</w:t>
            </w:r>
          </w:p>
        </w:tc>
      </w:tr>
      <w:tr w:rsidR="002D253C" w:rsidRPr="00317500" w14:paraId="318CC82C" w14:textId="77777777" w:rsidTr="002D253C">
        <w:tc>
          <w:tcPr>
            <w:tcW w:w="846" w:type="dxa"/>
            <w:tcBorders>
              <w:bottom w:val="single" w:sz="4" w:space="0" w:color="auto"/>
            </w:tcBorders>
          </w:tcPr>
          <w:p w14:paraId="1ED0553C" w14:textId="77777777" w:rsidR="002D253C" w:rsidRPr="007872DC" w:rsidRDefault="002D253C" w:rsidP="002D253C">
            <w:pPr>
              <w:pStyle w:val="Odlomakpopisa"/>
              <w:numPr>
                <w:ilvl w:val="0"/>
                <w:numId w:val="13"/>
              </w:numPr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962A0F6" w14:textId="77777777" w:rsidR="002D253C" w:rsidRPr="007872DC" w:rsidRDefault="002D253C" w:rsidP="002D253C">
            <w:pPr>
              <w:jc w:val="both"/>
              <w:rPr>
                <w:sz w:val="22"/>
                <w:szCs w:val="22"/>
              </w:rPr>
            </w:pPr>
            <w:r w:rsidRPr="007872DC">
              <w:rPr>
                <w:sz w:val="22"/>
                <w:szCs w:val="22"/>
              </w:rPr>
              <w:t xml:space="preserve">Javna rasvjeta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7C5BFC2" w14:textId="763B20A6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1.261.000,00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85A2668" w14:textId="556064A2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-276.000,00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802EB5" w14:textId="6E017D14" w:rsidR="002D253C" w:rsidRPr="002D253C" w:rsidRDefault="002D253C" w:rsidP="002D253C">
            <w:pPr>
              <w:jc w:val="right"/>
              <w:rPr>
                <w:sz w:val="20"/>
                <w:szCs w:val="20"/>
              </w:rPr>
            </w:pPr>
            <w:r w:rsidRPr="002D253C">
              <w:rPr>
                <w:sz w:val="20"/>
                <w:szCs w:val="20"/>
              </w:rPr>
              <w:t>985.000,00</w:t>
            </w:r>
          </w:p>
        </w:tc>
      </w:tr>
      <w:tr w:rsidR="002D253C" w:rsidRPr="007872DC" w14:paraId="08C3B7AA" w14:textId="77777777" w:rsidTr="002D253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A7B4" w14:textId="77777777" w:rsidR="002D253C" w:rsidRPr="007872DC" w:rsidRDefault="002D253C" w:rsidP="002D253C">
            <w:pPr>
              <w:pStyle w:val="Odlomakpopisa"/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7132" w14:textId="77777777" w:rsidR="002D253C" w:rsidRPr="007872DC" w:rsidRDefault="002D253C" w:rsidP="002D253C">
            <w:pPr>
              <w:jc w:val="right"/>
              <w:rPr>
                <w:b/>
                <w:sz w:val="22"/>
                <w:szCs w:val="22"/>
              </w:rPr>
            </w:pPr>
            <w:r w:rsidRPr="007872DC">
              <w:rPr>
                <w:b/>
                <w:sz w:val="22"/>
                <w:szCs w:val="22"/>
              </w:rPr>
              <w:t>UKUPNO: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59C" w14:textId="1C1B0555" w:rsidR="002D253C" w:rsidRPr="002D253C" w:rsidRDefault="002D253C" w:rsidP="002D253C">
            <w:pPr>
              <w:jc w:val="right"/>
              <w:rPr>
                <w:b/>
                <w:sz w:val="20"/>
                <w:szCs w:val="20"/>
              </w:rPr>
            </w:pPr>
            <w:r w:rsidRPr="002D253C">
              <w:rPr>
                <w:b/>
                <w:bCs/>
                <w:sz w:val="20"/>
                <w:szCs w:val="20"/>
              </w:rPr>
              <w:t xml:space="preserve">8.038.800,00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3F3A" w14:textId="2B11FD92" w:rsidR="002D253C" w:rsidRPr="002D253C" w:rsidRDefault="002D253C" w:rsidP="002D253C">
            <w:pPr>
              <w:jc w:val="right"/>
              <w:rPr>
                <w:b/>
                <w:sz w:val="20"/>
                <w:szCs w:val="20"/>
              </w:rPr>
            </w:pPr>
            <w:r w:rsidRPr="002D253C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2D253C">
              <w:rPr>
                <w:b/>
                <w:bCs/>
                <w:sz w:val="20"/>
                <w:szCs w:val="20"/>
              </w:rPr>
              <w:t>2.709.166,00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4779" w14:textId="57AA4F3F" w:rsidR="002D253C" w:rsidRPr="002D253C" w:rsidRDefault="002D253C" w:rsidP="002D253C">
            <w:pPr>
              <w:jc w:val="right"/>
              <w:rPr>
                <w:b/>
                <w:sz w:val="20"/>
                <w:szCs w:val="20"/>
              </w:rPr>
            </w:pPr>
            <w:r w:rsidRPr="002D253C">
              <w:rPr>
                <w:b/>
                <w:bCs/>
                <w:sz w:val="20"/>
                <w:szCs w:val="20"/>
              </w:rPr>
              <w:t xml:space="preserve">5.329.634,00 </w:t>
            </w:r>
          </w:p>
        </w:tc>
      </w:tr>
    </w:tbl>
    <w:p w14:paraId="0BF4B123" w14:textId="231F290C" w:rsidR="00613542" w:rsidRPr="007872DC" w:rsidRDefault="00613542" w:rsidP="00613542">
      <w:pPr>
        <w:jc w:val="both"/>
        <w:outlineLvl w:val="0"/>
        <w:rPr>
          <w:sz w:val="22"/>
          <w:szCs w:val="22"/>
        </w:rPr>
      </w:pPr>
      <w:r w:rsidRPr="007872DC">
        <w:rPr>
          <w:sz w:val="22"/>
          <w:szCs w:val="22"/>
        </w:rPr>
        <w:t xml:space="preserve">Ukupna sredstva za realizaciju građenja komunalne infrastrukture iznose </w:t>
      </w:r>
      <w:r w:rsidR="002D253C">
        <w:rPr>
          <w:bCs/>
          <w:color w:val="000000"/>
          <w:sz w:val="22"/>
          <w:szCs w:val="22"/>
        </w:rPr>
        <w:t>5.329.634</w:t>
      </w:r>
      <w:r w:rsidR="006B68F2">
        <w:rPr>
          <w:bCs/>
          <w:color w:val="000000"/>
          <w:sz w:val="22"/>
          <w:szCs w:val="22"/>
        </w:rPr>
        <w:t>,00 EUR</w:t>
      </w:r>
      <w:r w:rsidRPr="007872DC">
        <w:rPr>
          <w:sz w:val="22"/>
          <w:szCs w:val="22"/>
        </w:rPr>
        <w:t>.</w:t>
      </w:r>
    </w:p>
    <w:p w14:paraId="31BBBEB5" w14:textId="19111C6C" w:rsidR="00613542" w:rsidRPr="00B129A7" w:rsidRDefault="00613542" w:rsidP="00613542">
      <w:pPr>
        <w:jc w:val="center"/>
        <w:outlineLvl w:val="0"/>
        <w:rPr>
          <w:b/>
          <w:sz w:val="22"/>
          <w:szCs w:val="22"/>
        </w:rPr>
      </w:pPr>
      <w:r w:rsidRPr="00B129A7">
        <w:rPr>
          <w:b/>
          <w:sz w:val="22"/>
          <w:szCs w:val="22"/>
        </w:rPr>
        <w:t xml:space="preserve">Članak </w:t>
      </w:r>
      <w:r w:rsidR="004E2BD3">
        <w:rPr>
          <w:b/>
          <w:sz w:val="22"/>
          <w:szCs w:val="22"/>
        </w:rPr>
        <w:t>3</w:t>
      </w:r>
      <w:r w:rsidRPr="00B129A7">
        <w:rPr>
          <w:b/>
          <w:sz w:val="22"/>
          <w:szCs w:val="22"/>
        </w:rPr>
        <w:t>.</w:t>
      </w:r>
    </w:p>
    <w:p w14:paraId="38859790" w14:textId="7D767CBC" w:rsidR="00613542" w:rsidRPr="007872DC" w:rsidRDefault="00613542" w:rsidP="00613542">
      <w:pPr>
        <w:jc w:val="both"/>
        <w:outlineLvl w:val="0"/>
        <w:rPr>
          <w:sz w:val="22"/>
          <w:szCs w:val="22"/>
        </w:rPr>
      </w:pPr>
      <w:r w:rsidRPr="007872DC">
        <w:rPr>
          <w:sz w:val="22"/>
          <w:szCs w:val="22"/>
        </w:rPr>
        <w:t xml:space="preserve">Ove </w:t>
      </w:r>
      <w:r w:rsidR="002D253C">
        <w:rPr>
          <w:sz w:val="22"/>
          <w:szCs w:val="22"/>
        </w:rPr>
        <w:t>I</w:t>
      </w:r>
      <w:r w:rsidRPr="007872DC">
        <w:rPr>
          <w:sz w:val="22"/>
          <w:szCs w:val="22"/>
        </w:rPr>
        <w:t>I. Izmjene i dopune Programa građenja komunalne infrastrukture za 20</w:t>
      </w:r>
      <w:r>
        <w:rPr>
          <w:sz w:val="22"/>
          <w:szCs w:val="22"/>
        </w:rPr>
        <w:t>2</w:t>
      </w:r>
      <w:r w:rsidR="006B68F2">
        <w:rPr>
          <w:sz w:val="22"/>
          <w:szCs w:val="22"/>
        </w:rPr>
        <w:t>3</w:t>
      </w:r>
      <w:r w:rsidRPr="007872DC">
        <w:rPr>
          <w:sz w:val="22"/>
          <w:szCs w:val="22"/>
        </w:rPr>
        <w:t xml:space="preserve">. godinu stupaju na snagu prvi dan nakon objave u „Službenom glasniku Grada Poreča – </w:t>
      </w:r>
      <w:proofErr w:type="spellStart"/>
      <w:r w:rsidRPr="007872DC">
        <w:rPr>
          <w:sz w:val="22"/>
          <w:szCs w:val="22"/>
        </w:rPr>
        <w:t>Parenzo</w:t>
      </w:r>
      <w:proofErr w:type="spellEnd"/>
      <w:r w:rsidRPr="007872DC">
        <w:rPr>
          <w:sz w:val="22"/>
          <w:szCs w:val="22"/>
        </w:rPr>
        <w:t>“.</w:t>
      </w:r>
    </w:p>
    <w:p w14:paraId="78142E40" w14:textId="4C7141C0" w:rsidR="00613542" w:rsidRDefault="00613542" w:rsidP="00613542">
      <w:pPr>
        <w:jc w:val="both"/>
        <w:rPr>
          <w:sz w:val="22"/>
          <w:szCs w:val="22"/>
          <w:lang w:val="pl-PL"/>
        </w:rPr>
      </w:pPr>
    </w:p>
    <w:p w14:paraId="2FF4528B" w14:textId="77777777" w:rsidR="00C70970" w:rsidRPr="007872DC" w:rsidRDefault="00C70970" w:rsidP="00613542">
      <w:pPr>
        <w:jc w:val="both"/>
        <w:rPr>
          <w:sz w:val="22"/>
          <w:szCs w:val="22"/>
          <w:lang w:val="pl-PL"/>
        </w:rPr>
      </w:pPr>
    </w:p>
    <w:tbl>
      <w:tblPr>
        <w:tblW w:w="0" w:type="auto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13542" w:rsidRPr="007872DC" w14:paraId="4A1E48D2" w14:textId="77777777" w:rsidTr="009C7365">
        <w:tc>
          <w:tcPr>
            <w:tcW w:w="4110" w:type="dxa"/>
          </w:tcPr>
          <w:p w14:paraId="393F3D45" w14:textId="77777777" w:rsidR="00613542" w:rsidRPr="007872DC" w:rsidRDefault="00613542" w:rsidP="009C7365">
            <w:pPr>
              <w:tabs>
                <w:tab w:val="center" w:pos="5954"/>
              </w:tabs>
              <w:jc w:val="center"/>
              <w:rPr>
                <w:b/>
                <w:caps/>
                <w:sz w:val="22"/>
                <w:szCs w:val="22"/>
              </w:rPr>
            </w:pPr>
            <w:r>
              <w:rPr>
                <w:b/>
                <w:caps/>
                <w:sz w:val="22"/>
                <w:szCs w:val="22"/>
              </w:rPr>
              <w:t>Predsjednik</w:t>
            </w:r>
          </w:p>
        </w:tc>
      </w:tr>
      <w:tr w:rsidR="00613542" w:rsidRPr="007872DC" w14:paraId="556B1CF5" w14:textId="77777777" w:rsidTr="009C7365">
        <w:tc>
          <w:tcPr>
            <w:tcW w:w="4110" w:type="dxa"/>
          </w:tcPr>
          <w:p w14:paraId="06DC8871" w14:textId="77777777" w:rsidR="00613542" w:rsidRPr="007872DC" w:rsidRDefault="00613542" w:rsidP="009C7365">
            <w:pPr>
              <w:tabs>
                <w:tab w:val="center" w:pos="5954"/>
              </w:tabs>
              <w:jc w:val="center"/>
              <w:rPr>
                <w:caps/>
                <w:sz w:val="22"/>
                <w:szCs w:val="22"/>
              </w:rPr>
            </w:pPr>
            <w:r w:rsidRPr="007872DC">
              <w:rPr>
                <w:b/>
                <w:caps/>
                <w:sz w:val="22"/>
                <w:szCs w:val="22"/>
              </w:rPr>
              <w:t>Gradskog vijeća</w:t>
            </w:r>
          </w:p>
        </w:tc>
      </w:tr>
      <w:tr w:rsidR="00613542" w:rsidRPr="007872DC" w14:paraId="63083CF9" w14:textId="77777777" w:rsidTr="009C7365">
        <w:trPr>
          <w:trHeight w:val="457"/>
        </w:trPr>
        <w:tc>
          <w:tcPr>
            <w:tcW w:w="4110" w:type="dxa"/>
          </w:tcPr>
          <w:p w14:paraId="0942CEE8" w14:textId="77777777" w:rsidR="00613542" w:rsidRPr="007872DC" w:rsidRDefault="00613542" w:rsidP="009C7365">
            <w:pPr>
              <w:tabs>
                <w:tab w:val="center" w:pos="595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Zoran Rabar</w:t>
            </w:r>
          </w:p>
        </w:tc>
      </w:tr>
    </w:tbl>
    <w:p w14:paraId="4E17FA1E" w14:textId="5F569B0E" w:rsidR="00613542" w:rsidRDefault="00613542" w:rsidP="002A1796">
      <w:pPr>
        <w:pStyle w:val="Naslov2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</w:p>
    <w:p w14:paraId="1887558F" w14:textId="1AEA10E4" w:rsidR="00FC7F56" w:rsidRDefault="00FC7F56" w:rsidP="00FC7F56">
      <w:pPr>
        <w:rPr>
          <w:lang w:eastAsia="en-US"/>
        </w:rPr>
      </w:pPr>
    </w:p>
    <w:p w14:paraId="2096A850" w14:textId="4EC3C25A" w:rsidR="00FC7F56" w:rsidRDefault="00FC7F56" w:rsidP="00FC7F56">
      <w:pPr>
        <w:rPr>
          <w:lang w:eastAsia="en-US"/>
        </w:rPr>
      </w:pPr>
    </w:p>
    <w:p w14:paraId="4703E6DD" w14:textId="5F809D0E" w:rsidR="00FC7F56" w:rsidRDefault="00FC7F56" w:rsidP="00FC7F56">
      <w:pPr>
        <w:rPr>
          <w:lang w:eastAsia="en-US"/>
        </w:rPr>
      </w:pPr>
    </w:p>
    <w:p w14:paraId="6415FCAC" w14:textId="3A8B437A" w:rsidR="00133325" w:rsidRDefault="00133325" w:rsidP="00FC7F56">
      <w:pPr>
        <w:rPr>
          <w:lang w:eastAsia="en-US"/>
        </w:rPr>
      </w:pPr>
    </w:p>
    <w:p w14:paraId="0BA875DE" w14:textId="58BE7141" w:rsidR="00133325" w:rsidRDefault="00133325" w:rsidP="00FC7F56">
      <w:pPr>
        <w:rPr>
          <w:lang w:eastAsia="en-US"/>
        </w:rPr>
      </w:pPr>
    </w:p>
    <w:p w14:paraId="29D560BD" w14:textId="77777777" w:rsidR="004E2BD3" w:rsidRPr="0031527B" w:rsidRDefault="004E2BD3" w:rsidP="004E2BD3">
      <w:pPr>
        <w:tabs>
          <w:tab w:val="left" w:pos="0"/>
        </w:tabs>
      </w:pPr>
      <w:r w:rsidRPr="0031527B">
        <w:rPr>
          <w:b/>
          <w:bCs/>
        </w:rPr>
        <w:t>DOSTAVITI</w:t>
      </w:r>
      <w:r w:rsidRPr="0031527B">
        <w:t>:</w:t>
      </w:r>
    </w:p>
    <w:p w14:paraId="79ED06BA" w14:textId="1BE60BD7" w:rsidR="004E2BD3" w:rsidRPr="0031527B" w:rsidRDefault="004E2BD3" w:rsidP="004E2BD3">
      <w:pPr>
        <w:pStyle w:val="Odlomakpopisa"/>
        <w:numPr>
          <w:ilvl w:val="0"/>
          <w:numId w:val="24"/>
        </w:numPr>
        <w:tabs>
          <w:tab w:val="left" w:pos="0"/>
        </w:tabs>
      </w:pPr>
      <w:r>
        <w:t>Gradonačelnik</w:t>
      </w:r>
      <w:r w:rsidRPr="0031527B">
        <w:t>,</w:t>
      </w:r>
      <w:r>
        <w:t xml:space="preserve"> ovdje,</w:t>
      </w:r>
    </w:p>
    <w:p w14:paraId="15280622" w14:textId="27910618" w:rsidR="004E2BD3" w:rsidRPr="0031527B" w:rsidRDefault="004E2BD3" w:rsidP="004E2BD3">
      <w:pPr>
        <w:pStyle w:val="Odlomakpopisa"/>
        <w:numPr>
          <w:ilvl w:val="0"/>
          <w:numId w:val="24"/>
        </w:numPr>
        <w:tabs>
          <w:tab w:val="left" w:pos="0"/>
        </w:tabs>
      </w:pPr>
      <w:r w:rsidRPr="0031527B">
        <w:t>Upravn</w:t>
      </w:r>
      <w:r w:rsidR="00C70970">
        <w:t>i</w:t>
      </w:r>
      <w:r w:rsidRPr="0031527B">
        <w:t xml:space="preserve"> odjel za komunalni sustav</w:t>
      </w:r>
      <w:r>
        <w:t>,</w:t>
      </w:r>
      <w:r w:rsidRPr="0031527B">
        <w:t xml:space="preserve"> ovdje,</w:t>
      </w:r>
    </w:p>
    <w:p w14:paraId="3B8003DE" w14:textId="77777777" w:rsidR="004E2BD3" w:rsidRPr="0031527B" w:rsidRDefault="004E2BD3" w:rsidP="004E2BD3">
      <w:pPr>
        <w:pStyle w:val="Odlomakpopisa"/>
        <w:numPr>
          <w:ilvl w:val="0"/>
          <w:numId w:val="24"/>
        </w:numPr>
        <w:tabs>
          <w:tab w:val="left" w:pos="0"/>
        </w:tabs>
      </w:pPr>
      <w:r w:rsidRPr="0031527B">
        <w:t>Pismohrana, ovdje.</w:t>
      </w:r>
    </w:p>
    <w:p w14:paraId="1D0BBFE1" w14:textId="66CCD87A" w:rsidR="00133325" w:rsidRDefault="00133325" w:rsidP="00FC7F56">
      <w:pPr>
        <w:rPr>
          <w:lang w:eastAsia="en-US"/>
        </w:rPr>
      </w:pPr>
    </w:p>
    <w:p w14:paraId="5B99B3EF" w14:textId="3298BC14" w:rsidR="00133325" w:rsidRDefault="00133325" w:rsidP="00FC7F56">
      <w:pPr>
        <w:rPr>
          <w:lang w:eastAsia="en-US"/>
        </w:rPr>
      </w:pPr>
    </w:p>
    <w:p w14:paraId="28742675" w14:textId="0AF40C28" w:rsidR="00133325" w:rsidRDefault="00133325" w:rsidP="00FC7F56">
      <w:pPr>
        <w:rPr>
          <w:lang w:eastAsia="en-US"/>
        </w:rPr>
      </w:pPr>
    </w:p>
    <w:p w14:paraId="4F83101B" w14:textId="720DB0C6" w:rsidR="00133325" w:rsidRDefault="00133325" w:rsidP="00FC7F56">
      <w:pPr>
        <w:rPr>
          <w:lang w:eastAsia="en-US"/>
        </w:rPr>
      </w:pPr>
    </w:p>
    <w:p w14:paraId="12439B63" w14:textId="46ACD764" w:rsidR="00133325" w:rsidRDefault="00133325" w:rsidP="00FC7F56">
      <w:pPr>
        <w:rPr>
          <w:lang w:eastAsia="en-US"/>
        </w:rPr>
      </w:pPr>
    </w:p>
    <w:p w14:paraId="6FCFFA88" w14:textId="18CB2021" w:rsidR="00133325" w:rsidRDefault="00133325" w:rsidP="00FC7F56">
      <w:pPr>
        <w:rPr>
          <w:lang w:eastAsia="en-US"/>
        </w:rPr>
      </w:pPr>
    </w:p>
    <w:p w14:paraId="439C5B0B" w14:textId="605D92A8" w:rsidR="00133325" w:rsidRDefault="00133325" w:rsidP="00FC7F56">
      <w:pPr>
        <w:rPr>
          <w:lang w:eastAsia="en-US"/>
        </w:rPr>
      </w:pPr>
    </w:p>
    <w:p w14:paraId="00D012D3" w14:textId="1032267C" w:rsidR="00133325" w:rsidRDefault="00133325" w:rsidP="00FC7F56">
      <w:pPr>
        <w:rPr>
          <w:lang w:eastAsia="en-US"/>
        </w:rPr>
      </w:pPr>
    </w:p>
    <w:p w14:paraId="6EFB09EF" w14:textId="2FB8FA14" w:rsidR="00C17700" w:rsidRDefault="00C17700" w:rsidP="00FC7F56">
      <w:pPr>
        <w:rPr>
          <w:lang w:eastAsia="en-US"/>
        </w:rPr>
      </w:pPr>
    </w:p>
    <w:p w14:paraId="665EAC9A" w14:textId="591079E5" w:rsidR="00C17700" w:rsidRDefault="00C17700" w:rsidP="00FC7F56">
      <w:pPr>
        <w:rPr>
          <w:lang w:eastAsia="en-US"/>
        </w:rPr>
      </w:pPr>
    </w:p>
    <w:p w14:paraId="682119E2" w14:textId="58EAEF2E" w:rsidR="00C17700" w:rsidRDefault="00C17700" w:rsidP="00FC7F56">
      <w:pPr>
        <w:rPr>
          <w:lang w:eastAsia="en-US"/>
        </w:rPr>
      </w:pPr>
    </w:p>
    <w:p w14:paraId="47E6B01F" w14:textId="77FF6B20" w:rsidR="00C17700" w:rsidRDefault="00C17700" w:rsidP="00FC7F56">
      <w:pPr>
        <w:rPr>
          <w:lang w:eastAsia="en-US"/>
        </w:rPr>
      </w:pPr>
    </w:p>
    <w:p w14:paraId="1CBDB0F9" w14:textId="343B0E29" w:rsidR="00C17700" w:rsidRDefault="00C17700" w:rsidP="00FC7F56">
      <w:pPr>
        <w:rPr>
          <w:lang w:eastAsia="en-US"/>
        </w:rPr>
      </w:pPr>
    </w:p>
    <w:p w14:paraId="589AFC3B" w14:textId="4CCB4C42" w:rsidR="00C17700" w:rsidRDefault="00C17700" w:rsidP="00FC7F56">
      <w:pPr>
        <w:rPr>
          <w:lang w:eastAsia="en-US"/>
        </w:rPr>
      </w:pPr>
    </w:p>
    <w:p w14:paraId="2E395E3D" w14:textId="69E110F7" w:rsidR="00C17700" w:rsidRDefault="00C17700" w:rsidP="00FC7F56">
      <w:pPr>
        <w:rPr>
          <w:lang w:eastAsia="en-US"/>
        </w:rPr>
      </w:pPr>
    </w:p>
    <w:p w14:paraId="7A54C684" w14:textId="2150C0A6" w:rsidR="00C17700" w:rsidRDefault="00C17700" w:rsidP="00FC7F56">
      <w:pPr>
        <w:rPr>
          <w:lang w:eastAsia="en-US"/>
        </w:rPr>
      </w:pPr>
    </w:p>
    <w:p w14:paraId="31FB5C2C" w14:textId="130BE2D9" w:rsidR="00C17700" w:rsidRDefault="00C17700" w:rsidP="00FC7F56">
      <w:pPr>
        <w:rPr>
          <w:lang w:eastAsia="en-US"/>
        </w:rPr>
      </w:pPr>
    </w:p>
    <w:p w14:paraId="4A0A50A9" w14:textId="08C53538" w:rsidR="00C17700" w:rsidRDefault="00C17700" w:rsidP="00FC7F56">
      <w:pPr>
        <w:rPr>
          <w:lang w:eastAsia="en-US"/>
        </w:rPr>
      </w:pPr>
    </w:p>
    <w:p w14:paraId="1097664F" w14:textId="1B3CAAAF" w:rsidR="00C17700" w:rsidRDefault="00C17700" w:rsidP="00FC7F56">
      <w:pPr>
        <w:rPr>
          <w:lang w:eastAsia="en-US"/>
        </w:rPr>
      </w:pPr>
    </w:p>
    <w:p w14:paraId="016CC815" w14:textId="45446C33" w:rsidR="00C17700" w:rsidRDefault="00C17700" w:rsidP="00FC7F56">
      <w:pPr>
        <w:rPr>
          <w:lang w:eastAsia="en-US"/>
        </w:rPr>
      </w:pPr>
    </w:p>
    <w:p w14:paraId="6CF7BE90" w14:textId="77567E0A" w:rsidR="00C17700" w:rsidRDefault="00C17700" w:rsidP="00FC7F56">
      <w:pPr>
        <w:rPr>
          <w:lang w:eastAsia="en-US"/>
        </w:rPr>
      </w:pPr>
    </w:p>
    <w:p w14:paraId="4C2E3CD8" w14:textId="24E10403" w:rsidR="00C17700" w:rsidRDefault="00C17700" w:rsidP="00FC7F56">
      <w:pPr>
        <w:rPr>
          <w:lang w:eastAsia="en-US"/>
        </w:rPr>
      </w:pPr>
    </w:p>
    <w:p w14:paraId="67639CE3" w14:textId="73869A56" w:rsidR="00C17700" w:rsidRDefault="00C17700" w:rsidP="00FC7F56">
      <w:pPr>
        <w:rPr>
          <w:lang w:eastAsia="en-US"/>
        </w:rPr>
      </w:pPr>
    </w:p>
    <w:p w14:paraId="0DDBC856" w14:textId="43A13EB8" w:rsidR="00C17700" w:rsidRDefault="00C17700" w:rsidP="00FC7F56">
      <w:pPr>
        <w:rPr>
          <w:lang w:eastAsia="en-US"/>
        </w:rPr>
      </w:pPr>
    </w:p>
    <w:p w14:paraId="1BEFEA85" w14:textId="5E04A357" w:rsidR="00C17700" w:rsidRDefault="00C17700" w:rsidP="00FC7F56">
      <w:pPr>
        <w:rPr>
          <w:lang w:eastAsia="en-US"/>
        </w:rPr>
      </w:pPr>
    </w:p>
    <w:p w14:paraId="72FB3531" w14:textId="2A348AEB" w:rsidR="00C17700" w:rsidRDefault="00C17700" w:rsidP="00FC7F56">
      <w:pPr>
        <w:rPr>
          <w:lang w:eastAsia="en-US"/>
        </w:rPr>
      </w:pPr>
    </w:p>
    <w:p w14:paraId="3CC2256D" w14:textId="7F228815" w:rsidR="00C17700" w:rsidRDefault="00C17700" w:rsidP="00FC7F56">
      <w:pPr>
        <w:rPr>
          <w:lang w:eastAsia="en-US"/>
        </w:rPr>
      </w:pPr>
    </w:p>
    <w:p w14:paraId="6ACB8463" w14:textId="1CA2C66C" w:rsidR="00C17700" w:rsidRDefault="00C17700" w:rsidP="00FC7F56">
      <w:pPr>
        <w:rPr>
          <w:lang w:eastAsia="en-US"/>
        </w:rPr>
      </w:pPr>
    </w:p>
    <w:p w14:paraId="2BA2EBD6" w14:textId="243E38FA" w:rsidR="00C17700" w:rsidRDefault="00C17700" w:rsidP="00FC7F56">
      <w:pPr>
        <w:rPr>
          <w:lang w:eastAsia="en-US"/>
        </w:rPr>
      </w:pPr>
    </w:p>
    <w:p w14:paraId="021C8632" w14:textId="1B54E88F" w:rsidR="00C17700" w:rsidRDefault="00C17700" w:rsidP="00FC7F56">
      <w:pPr>
        <w:rPr>
          <w:lang w:eastAsia="en-US"/>
        </w:rPr>
      </w:pPr>
    </w:p>
    <w:p w14:paraId="236A78DD" w14:textId="77777777" w:rsidR="00C17700" w:rsidRDefault="00C17700" w:rsidP="00FC7F56">
      <w:pPr>
        <w:rPr>
          <w:lang w:eastAsia="en-US"/>
        </w:rPr>
      </w:pPr>
    </w:p>
    <w:p w14:paraId="3A2E301F" w14:textId="18F8F8B2" w:rsidR="00133325" w:rsidRDefault="00133325" w:rsidP="00FC7F56">
      <w:pPr>
        <w:rPr>
          <w:lang w:eastAsia="en-US"/>
        </w:rPr>
      </w:pPr>
    </w:p>
    <w:p w14:paraId="22697991" w14:textId="43696C4B" w:rsidR="00133325" w:rsidRDefault="00133325" w:rsidP="00FC7F56">
      <w:pPr>
        <w:rPr>
          <w:lang w:eastAsia="en-US"/>
        </w:rPr>
      </w:pPr>
    </w:p>
    <w:p w14:paraId="3E6C5110" w14:textId="5C6EA828" w:rsidR="00133325" w:rsidRDefault="00133325" w:rsidP="00FC7F56">
      <w:pPr>
        <w:rPr>
          <w:lang w:eastAsia="en-US"/>
        </w:rPr>
      </w:pPr>
    </w:p>
    <w:p w14:paraId="08E32CB0" w14:textId="77777777" w:rsidR="00613542" w:rsidRPr="007872DC" w:rsidRDefault="00613542" w:rsidP="00613542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  <w:r w:rsidRPr="007872DC"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  <w:t>O B R A Z L O Ž E N J E</w:t>
      </w:r>
    </w:p>
    <w:p w14:paraId="4DE8656D" w14:textId="77777777" w:rsidR="00613542" w:rsidRPr="007872DC" w:rsidRDefault="00613542" w:rsidP="00613542">
      <w:pPr>
        <w:jc w:val="both"/>
        <w:rPr>
          <w:sz w:val="22"/>
          <w:szCs w:val="22"/>
        </w:rPr>
      </w:pPr>
    </w:p>
    <w:p w14:paraId="6787DE90" w14:textId="77777777" w:rsidR="00613542" w:rsidRPr="00C17700" w:rsidRDefault="00613542" w:rsidP="00C17700">
      <w:pPr>
        <w:pStyle w:val="Odlomakpopis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PRAVNI OSNOV </w:t>
      </w:r>
    </w:p>
    <w:p w14:paraId="62721D97" w14:textId="77777777" w:rsidR="00613542" w:rsidRPr="00C17700" w:rsidRDefault="00613542" w:rsidP="00C17700">
      <w:pPr>
        <w:pStyle w:val="Odlomakpopisa"/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Predstavničko tijelo jedinice lokalne samouprave odredbom članka 67. Zakona o komunalnom gospodarstvu (Narodne novine broj 68/18, 110/18 i 32/20), u skladu s izvješćem o stanju u prostoru, potrebama uređenja zemljišta planiranog prostornim planom i planom razvojnih programa koji se donose na temelju posebnih propisa, 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gospodarstvu.</w:t>
      </w:r>
    </w:p>
    <w:p w14:paraId="4EE61D8B" w14:textId="77777777" w:rsidR="00613542" w:rsidRPr="00C17700" w:rsidRDefault="00613542" w:rsidP="00C17700">
      <w:pPr>
        <w:spacing w:line="276" w:lineRule="auto"/>
        <w:ind w:left="708"/>
        <w:jc w:val="both"/>
        <w:rPr>
          <w:sz w:val="22"/>
          <w:szCs w:val="22"/>
        </w:rPr>
      </w:pPr>
    </w:p>
    <w:p w14:paraId="71DA91E8" w14:textId="77777777" w:rsidR="00613542" w:rsidRPr="00C17700" w:rsidRDefault="00613542" w:rsidP="00C17700">
      <w:pPr>
        <w:pStyle w:val="Odlomakpopis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OCJENA STANJA</w:t>
      </w:r>
    </w:p>
    <w:p w14:paraId="691C742E" w14:textId="77777777" w:rsidR="00613542" w:rsidRPr="00C17700" w:rsidRDefault="00613542" w:rsidP="00C17700">
      <w:pPr>
        <w:pStyle w:val="Odlomakpopisa"/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Predstavničko tijelo jedinice lokalne samouprave, u skladu s predvidivim sredstvima i izvorima financiranja donijelo je program građenja komunalne infrastrukture. </w:t>
      </w:r>
    </w:p>
    <w:p w14:paraId="765FF72A" w14:textId="40B0B7F3" w:rsidR="00613542" w:rsidRPr="00C17700" w:rsidRDefault="00613542" w:rsidP="00C17700">
      <w:pPr>
        <w:pStyle w:val="Odlomakpopisa"/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Uslijed ukazane potrebe izrađen je prijedlog </w:t>
      </w:r>
      <w:r w:rsidR="00C17700" w:rsidRPr="00C17700">
        <w:rPr>
          <w:sz w:val="22"/>
          <w:szCs w:val="22"/>
        </w:rPr>
        <w:t xml:space="preserve">II. </w:t>
      </w:r>
      <w:r w:rsidRPr="00C17700">
        <w:rPr>
          <w:sz w:val="22"/>
          <w:szCs w:val="22"/>
        </w:rPr>
        <w:t>izmjena i dopuna Programa građenja komunalne infrastrukture za 202</w:t>
      </w:r>
      <w:r w:rsidR="00133325" w:rsidRPr="00C17700">
        <w:rPr>
          <w:sz w:val="22"/>
          <w:szCs w:val="22"/>
        </w:rPr>
        <w:t>3</w:t>
      </w:r>
      <w:r w:rsidRPr="00C17700">
        <w:rPr>
          <w:sz w:val="22"/>
          <w:szCs w:val="22"/>
        </w:rPr>
        <w:t>. godine.</w:t>
      </w:r>
    </w:p>
    <w:p w14:paraId="5A9A0436" w14:textId="77777777" w:rsidR="00613542" w:rsidRPr="00C17700" w:rsidRDefault="00613542" w:rsidP="00C17700">
      <w:pPr>
        <w:spacing w:line="276" w:lineRule="auto"/>
        <w:jc w:val="both"/>
        <w:rPr>
          <w:sz w:val="22"/>
          <w:szCs w:val="22"/>
        </w:rPr>
      </w:pPr>
    </w:p>
    <w:p w14:paraId="61A0727E" w14:textId="77777777" w:rsidR="00613542" w:rsidRPr="00C17700" w:rsidRDefault="00613542" w:rsidP="00C17700">
      <w:pPr>
        <w:pStyle w:val="Odlomakpopis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OSNOVNA PITANJA KOJA SE UREĐUJU ODLUKOM</w:t>
      </w:r>
    </w:p>
    <w:p w14:paraId="635534AC" w14:textId="77777777" w:rsidR="00613542" w:rsidRPr="00C17700" w:rsidRDefault="00613542" w:rsidP="00C17700">
      <w:pPr>
        <w:pStyle w:val="Odlomakpopisa"/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Program se daje po vrstama komunalne infrastrukture, kako ih određuje Zakon te za građevine za gospodarenje komunalnim otpadom. </w:t>
      </w:r>
    </w:p>
    <w:p w14:paraId="5D9131B0" w14:textId="446627AC" w:rsidR="00121FEF" w:rsidRPr="00C17700" w:rsidRDefault="00C17700" w:rsidP="00C17700">
      <w:pPr>
        <w:pStyle w:val="Odlomakpopisa"/>
        <w:spacing w:line="276" w:lineRule="auto"/>
        <w:jc w:val="both"/>
        <w:rPr>
          <w:sz w:val="22"/>
          <w:szCs w:val="22"/>
        </w:rPr>
      </w:pPr>
      <w:proofErr w:type="spellStart"/>
      <w:r w:rsidRPr="00C17700">
        <w:rPr>
          <w:sz w:val="22"/>
          <w:szCs w:val="22"/>
        </w:rPr>
        <w:t>Samnjenje</w:t>
      </w:r>
      <w:proofErr w:type="spellEnd"/>
      <w:r w:rsidR="00613542" w:rsidRPr="00C17700">
        <w:rPr>
          <w:sz w:val="22"/>
          <w:szCs w:val="22"/>
        </w:rPr>
        <w:t xml:space="preserve"> programa u odnosu na plan u ukupnom iznosu od </w:t>
      </w:r>
      <w:r w:rsidRPr="00C17700">
        <w:rPr>
          <w:sz w:val="22"/>
          <w:szCs w:val="22"/>
        </w:rPr>
        <w:t>2.709.166,00</w:t>
      </w:r>
      <w:r w:rsidR="00133325" w:rsidRPr="00C17700">
        <w:rPr>
          <w:sz w:val="22"/>
          <w:szCs w:val="22"/>
        </w:rPr>
        <w:t xml:space="preserve"> EUR</w:t>
      </w:r>
      <w:r w:rsidR="00613542" w:rsidRPr="00C17700">
        <w:rPr>
          <w:sz w:val="22"/>
          <w:szCs w:val="22"/>
        </w:rPr>
        <w:t xml:space="preserve"> odnosi se na </w:t>
      </w:r>
      <w:r w:rsidR="00FC7F56" w:rsidRPr="00C17700">
        <w:rPr>
          <w:sz w:val="22"/>
          <w:szCs w:val="22"/>
        </w:rPr>
        <w:t xml:space="preserve">potrebu povećanja planiranih sredstava neophodnih za realizaciju </w:t>
      </w:r>
      <w:r w:rsidR="00121FEF" w:rsidRPr="00C17700">
        <w:rPr>
          <w:sz w:val="22"/>
          <w:szCs w:val="22"/>
        </w:rPr>
        <w:t>kapitalnih projekata.</w:t>
      </w:r>
    </w:p>
    <w:p w14:paraId="08644851" w14:textId="7CF5AE0E" w:rsidR="00C17700" w:rsidRPr="00C17700" w:rsidRDefault="00C17700" w:rsidP="00C17700">
      <w:pPr>
        <w:spacing w:line="276" w:lineRule="auto"/>
        <w:ind w:left="709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Za realizaciju Kapitalnog projekta K101001 Rekonstrukcija cesta, nogostupa i puteva planira se povećanje u iznosu od 147.624,00 EUR, a koje se odnosi na asfaltiranje cesta i puteva na području mjesnih odbora unutar naselja Poreč te mjesnih odbora </w:t>
      </w:r>
      <w:proofErr w:type="spellStart"/>
      <w:r w:rsidRPr="00C17700">
        <w:rPr>
          <w:sz w:val="22"/>
          <w:szCs w:val="22"/>
        </w:rPr>
        <w:t>Žbandaj</w:t>
      </w:r>
      <w:proofErr w:type="spellEnd"/>
      <w:r w:rsidRPr="00C17700">
        <w:rPr>
          <w:sz w:val="22"/>
          <w:szCs w:val="22"/>
        </w:rPr>
        <w:t xml:space="preserve"> i Varvari uz smanjenje za rashode za potrebe mjesnih odbora </w:t>
      </w:r>
      <w:proofErr w:type="spellStart"/>
      <w:r w:rsidRPr="00C17700">
        <w:rPr>
          <w:sz w:val="22"/>
          <w:szCs w:val="22"/>
        </w:rPr>
        <w:t>Baderna</w:t>
      </w:r>
      <w:proofErr w:type="spellEnd"/>
      <w:r w:rsidRPr="00C17700">
        <w:rPr>
          <w:sz w:val="22"/>
          <w:szCs w:val="22"/>
        </w:rPr>
        <w:t xml:space="preserve">, </w:t>
      </w:r>
      <w:proofErr w:type="spellStart"/>
      <w:r w:rsidRPr="00C17700">
        <w:rPr>
          <w:sz w:val="22"/>
          <w:szCs w:val="22"/>
        </w:rPr>
        <w:t>Fuškulin</w:t>
      </w:r>
      <w:proofErr w:type="spellEnd"/>
      <w:r w:rsidRPr="00C17700">
        <w:rPr>
          <w:sz w:val="22"/>
          <w:szCs w:val="22"/>
        </w:rPr>
        <w:t xml:space="preserve"> i Nova Vas. Za realizaciju Kapitalnog projekta K101003 Izgradnja infrastrukture i prometnica zone </w:t>
      </w:r>
      <w:proofErr w:type="spellStart"/>
      <w:r w:rsidRPr="00C17700">
        <w:rPr>
          <w:sz w:val="22"/>
          <w:szCs w:val="22"/>
        </w:rPr>
        <w:t>Finida</w:t>
      </w:r>
      <w:proofErr w:type="spellEnd"/>
      <w:r w:rsidRPr="00C17700">
        <w:rPr>
          <w:sz w:val="22"/>
          <w:szCs w:val="22"/>
        </w:rPr>
        <w:t xml:space="preserve"> sjever planira se smanjenje u iznosu od 7.000,00 EUR, a koje se odnosi na rashode za izradu projektne dokumentacije za ishođenje građevinske dozvole za II, III. i IV. fazu prometnica i infrastrukture. Za realizaciju Kapitalnog projekta K101004 Izgradnja infrastrukture i prometnica zone Srednji </w:t>
      </w:r>
      <w:proofErr w:type="spellStart"/>
      <w:r w:rsidRPr="00C17700">
        <w:rPr>
          <w:sz w:val="22"/>
          <w:szCs w:val="22"/>
        </w:rPr>
        <w:t>Špadići</w:t>
      </w:r>
      <w:proofErr w:type="spellEnd"/>
      <w:r w:rsidRPr="00C17700">
        <w:rPr>
          <w:sz w:val="22"/>
          <w:szCs w:val="22"/>
        </w:rPr>
        <w:t xml:space="preserve"> planira se smanjenje u iznosu od 27.000,00 EUR, a koje se odnosi na rashode za izradu projektne dokumentacije. Za realizaciju Kapitalnog projekta K101006 Infrastruktura Servisne zone III planira se smanjenje u iznosu od 300.000,00 EUR radi usklađenja sa realnim rashodima nakon okončanja radova.Za realizaciju Kapitalnog projekta K101007 Raskrižje Vlašića – Vrsarska planira se smanjenje u iznosu od 5.000,00 EUR za izradu projektne dokumentacije. Za realizaciju Kapitalnog projekta K101009 Prometnica Gornji </w:t>
      </w:r>
      <w:proofErr w:type="spellStart"/>
      <w:r w:rsidRPr="00C17700">
        <w:rPr>
          <w:sz w:val="22"/>
          <w:szCs w:val="22"/>
        </w:rPr>
        <w:t>Špadići</w:t>
      </w:r>
      <w:proofErr w:type="spellEnd"/>
      <w:r w:rsidRPr="00C17700">
        <w:rPr>
          <w:sz w:val="22"/>
          <w:szCs w:val="22"/>
        </w:rPr>
        <w:t xml:space="preserve"> - škola </w:t>
      </w:r>
      <w:proofErr w:type="spellStart"/>
      <w:r w:rsidRPr="00C17700">
        <w:rPr>
          <w:sz w:val="22"/>
          <w:szCs w:val="22"/>
        </w:rPr>
        <w:t>Finida</w:t>
      </w:r>
      <w:proofErr w:type="spellEnd"/>
      <w:r w:rsidRPr="00C17700">
        <w:rPr>
          <w:sz w:val="22"/>
          <w:szCs w:val="22"/>
        </w:rPr>
        <w:t xml:space="preserve"> planira se smanjenje u iznos od 40.000,00 EUR za izradu projektne dokumentacije. Za realizaciju Kapitalnog projekta K101014 Kružno raskrižje </w:t>
      </w:r>
      <w:proofErr w:type="spellStart"/>
      <w:r w:rsidRPr="00C17700">
        <w:rPr>
          <w:sz w:val="22"/>
          <w:szCs w:val="22"/>
        </w:rPr>
        <w:t>I.L.Ribara</w:t>
      </w:r>
      <w:proofErr w:type="spellEnd"/>
      <w:r w:rsidRPr="00C17700">
        <w:rPr>
          <w:sz w:val="22"/>
          <w:szCs w:val="22"/>
        </w:rPr>
        <w:t xml:space="preserve"> – </w:t>
      </w:r>
      <w:proofErr w:type="spellStart"/>
      <w:r w:rsidRPr="00C17700">
        <w:rPr>
          <w:sz w:val="22"/>
          <w:szCs w:val="22"/>
        </w:rPr>
        <w:t>Somogy</w:t>
      </w:r>
      <w:proofErr w:type="spellEnd"/>
      <w:r w:rsidRPr="00C17700">
        <w:rPr>
          <w:sz w:val="22"/>
          <w:szCs w:val="22"/>
        </w:rPr>
        <w:t xml:space="preserve"> planira se smanjenje u iznosu od 24.000,00 EUR za izradu projektne dokumentacije. Za realizaciju Kapitalnog projekta K101016 Prometnica </w:t>
      </w:r>
      <w:proofErr w:type="spellStart"/>
      <w:r w:rsidRPr="00C17700">
        <w:rPr>
          <w:sz w:val="22"/>
          <w:szCs w:val="22"/>
        </w:rPr>
        <w:t>Bašarinka</w:t>
      </w:r>
      <w:proofErr w:type="spellEnd"/>
      <w:r w:rsidRPr="00C17700">
        <w:rPr>
          <w:sz w:val="22"/>
          <w:szCs w:val="22"/>
        </w:rPr>
        <w:t xml:space="preserve"> – Kukci planira se smanjenje u iznosu od 146.000,00 EUR za izgradnju obzirom na rješavanje imovinsko pravnih pitanja koji su u tijeku. Za realizaciju Kapitalnog projekta K101018 Obilaznica Starog Červara planira se smanjenje u iznosu od </w:t>
      </w:r>
      <w:r w:rsidRPr="00C17700">
        <w:rPr>
          <w:sz w:val="22"/>
          <w:szCs w:val="22"/>
        </w:rPr>
        <w:lastRenderedPageBreak/>
        <w:t xml:space="preserve">6.700,00 EUR za izradu projektne dokumentacije. Za realizaciju Kapitalnog projekta K101019 Izgradnja prometnice UPU </w:t>
      </w:r>
      <w:proofErr w:type="spellStart"/>
      <w:r w:rsidRPr="00C17700">
        <w:rPr>
          <w:sz w:val="22"/>
          <w:szCs w:val="22"/>
        </w:rPr>
        <w:t>Vergotini</w:t>
      </w:r>
      <w:proofErr w:type="spellEnd"/>
      <w:r w:rsidRPr="00C17700">
        <w:rPr>
          <w:sz w:val="22"/>
          <w:szCs w:val="22"/>
        </w:rPr>
        <w:t xml:space="preserve"> planira se smanjenje u iznosu od 146.500,00 EUR za izgradnju obzirom na rješavanje imovinsko pravnih pitanja koji su u tijeku. Za realizaciju Kapitalnog projekta K101020 Oborinska odvodnja naselja </w:t>
      </w:r>
      <w:proofErr w:type="spellStart"/>
      <w:r w:rsidRPr="00C17700">
        <w:rPr>
          <w:sz w:val="22"/>
          <w:szCs w:val="22"/>
        </w:rPr>
        <w:t>Špadići</w:t>
      </w:r>
      <w:proofErr w:type="spellEnd"/>
      <w:r w:rsidRPr="00C17700">
        <w:rPr>
          <w:sz w:val="22"/>
          <w:szCs w:val="22"/>
        </w:rPr>
        <w:t xml:space="preserve"> planira se smanjenje u iznosu od 10.000,00 EUR za izradu projektne dokumentacije. Za realizaciju Kapitalnog projekta K101021 Oborinska kanalizacija na više lokacija planira se povećanje u iznosu od 13.500,00 EUR za radove dogradnje odnosno rekonstrukcije sustava. Za realizaciju Kapitalnog projekta K101022 Oborinska odvodnja Mate Vlašića planira se smanjenje u iznosu od 2.700,00 EUR za izradu projektne dokumentacije. Za realizaciju Kapitalnog projekta K101023 Oborinska kanalizacija </w:t>
      </w:r>
      <w:proofErr w:type="spellStart"/>
      <w:r w:rsidRPr="00C17700">
        <w:rPr>
          <w:sz w:val="22"/>
          <w:szCs w:val="22"/>
        </w:rPr>
        <w:t>Finida</w:t>
      </w:r>
      <w:proofErr w:type="spellEnd"/>
      <w:r w:rsidRPr="00C17700">
        <w:rPr>
          <w:sz w:val="22"/>
          <w:szCs w:val="22"/>
        </w:rPr>
        <w:t xml:space="preserve"> planira se smanjenje u iznosu od 133.000,00 EUR za izgradnju obzirom na rješavanje imovinsko pravnih pitanja koji su u tijeku. Za realizaciju Kapitalnog projekta K102003 Rekonstrukcija Pučkog trga u Červar Portu</w:t>
      </w:r>
      <w:r w:rsidRPr="00C17700">
        <w:rPr>
          <w:sz w:val="22"/>
          <w:szCs w:val="22"/>
        </w:rPr>
        <w:tab/>
        <w:t xml:space="preserve">planira se smanjenje u iznosu od 239.500,00 EUR, a koje se odnosi na radove. Za realizaciju Kapitalnog projekta K102004 Rekonstrukcija Trga sidro u Červar Portu planira se smanjenje iznosa za 11.500,00 radi usklađenja sa izvršenim rashodima. Za realizaciju Kapitalnog projekta K102005 Pješačko biciklistička staza Nova Vas – Kukci planira se smanjenje u iznosu od 981.000,00 EUR za radove budući projekt nije prošao na javnom pozivu za bespovratna sredstva. Za realizaciju Kapitalnog projekta K102009 Pješačko biciklistička staza Mornarica planira se smanjenje u iznosu od 13.500,00 EUR za izradu projektne dokumentacije. Za realizaciju Kapitalnog projekta K103001 Parkiralište u ulici Baldini planira se smanjenje u iznosu od 139.690,00 EUR za radove. Za realizaciju Kapitalnog projekta K103002 Parkiralište u ulici Bruno </w:t>
      </w:r>
      <w:proofErr w:type="spellStart"/>
      <w:r w:rsidRPr="00C17700">
        <w:rPr>
          <w:sz w:val="22"/>
          <w:szCs w:val="22"/>
        </w:rPr>
        <w:t>Valenti</w:t>
      </w:r>
      <w:proofErr w:type="spellEnd"/>
      <w:r w:rsidRPr="00C17700">
        <w:rPr>
          <w:sz w:val="22"/>
          <w:szCs w:val="22"/>
        </w:rPr>
        <w:t xml:space="preserve"> planirano je smanjenje u iznosu od 385.000,00 EUR za radove budući se dio rashoda planira realizirati u slijedećoj godini. Za realizaciju Kapitalnog projekta K104001 Nabava igrala za dječja igrališta planira se povećanje u iznosu od 7.000,00 EUR radi povećane potrebe nabave. Za realizaciju Kapitalnog projekta K104002 Uređenja po naselju - komunalne akcije planira se povećanje u iznosu od 20.000,00 EUR zbog povećanja rashoda za mjesne odbore </w:t>
      </w:r>
      <w:proofErr w:type="spellStart"/>
      <w:r w:rsidRPr="00C17700">
        <w:rPr>
          <w:sz w:val="22"/>
          <w:szCs w:val="22"/>
        </w:rPr>
        <w:t>Baderna</w:t>
      </w:r>
      <w:proofErr w:type="spellEnd"/>
      <w:r w:rsidRPr="00C17700">
        <w:rPr>
          <w:sz w:val="22"/>
          <w:szCs w:val="22"/>
        </w:rPr>
        <w:t xml:space="preserve">, , </w:t>
      </w:r>
      <w:proofErr w:type="spellStart"/>
      <w:r w:rsidRPr="00C17700">
        <w:rPr>
          <w:sz w:val="22"/>
          <w:szCs w:val="22"/>
        </w:rPr>
        <w:t>Žbandaj</w:t>
      </w:r>
      <w:proofErr w:type="spellEnd"/>
      <w:r w:rsidRPr="00C17700">
        <w:rPr>
          <w:sz w:val="22"/>
          <w:szCs w:val="22"/>
        </w:rPr>
        <w:t xml:space="preserve">, Nova Vas i Varvari te smanjenje za mjesne odbore unutar naselja Poreč i jesnog odbora </w:t>
      </w:r>
      <w:proofErr w:type="spellStart"/>
      <w:r w:rsidRPr="00C17700">
        <w:rPr>
          <w:sz w:val="22"/>
          <w:szCs w:val="22"/>
        </w:rPr>
        <w:t>Fuškulin</w:t>
      </w:r>
      <w:proofErr w:type="spellEnd"/>
      <w:r w:rsidRPr="00C17700">
        <w:rPr>
          <w:sz w:val="22"/>
          <w:szCs w:val="22"/>
        </w:rPr>
        <w:t xml:space="preserve">. Za realizaciju Kapitalnog projekta K104005 Izgradnja sportskog igrališta St. </w:t>
      </w:r>
      <w:proofErr w:type="spellStart"/>
      <w:r w:rsidRPr="00C17700">
        <w:rPr>
          <w:sz w:val="22"/>
          <w:szCs w:val="22"/>
        </w:rPr>
        <w:t>Vergotini</w:t>
      </w:r>
      <w:proofErr w:type="spellEnd"/>
      <w:r w:rsidRPr="00C17700">
        <w:rPr>
          <w:sz w:val="22"/>
          <w:szCs w:val="22"/>
        </w:rPr>
        <w:t xml:space="preserve"> planira se smanjenje u iznosu od 3.200,00 EUR za izradu projektne dokumentacije. Za realizaciju Kapitalnog projekta K105001 Izgradnja javne rasvjete planira se smanjenje u iznosu od 25.000,00 EUR za rashode na području mjesnih odbora unutar naselja Poreč, , mjesnog odbora </w:t>
      </w:r>
      <w:proofErr w:type="spellStart"/>
      <w:r w:rsidRPr="00C17700">
        <w:rPr>
          <w:sz w:val="22"/>
          <w:szCs w:val="22"/>
        </w:rPr>
        <w:t>Baderna</w:t>
      </w:r>
      <w:proofErr w:type="spellEnd"/>
      <w:r w:rsidRPr="00C17700">
        <w:rPr>
          <w:sz w:val="22"/>
          <w:szCs w:val="22"/>
        </w:rPr>
        <w:t xml:space="preserve">, </w:t>
      </w:r>
      <w:proofErr w:type="spellStart"/>
      <w:r w:rsidRPr="00C17700">
        <w:rPr>
          <w:sz w:val="22"/>
          <w:szCs w:val="22"/>
        </w:rPr>
        <w:t>Žbandaj</w:t>
      </w:r>
      <w:proofErr w:type="spellEnd"/>
      <w:r w:rsidRPr="00C17700">
        <w:rPr>
          <w:sz w:val="22"/>
          <w:szCs w:val="22"/>
        </w:rPr>
        <w:t xml:space="preserve"> te Varvari te na povećanje iznosa za rashode za potrebe mjesnog odbora Nova Vas. Za realizaciju Kapitalnog projekta K105002 Rekonstrukcija javne rasvjete Červar Porat planirano je smanjenje u iznosu od 7.000,00 EUR.  Za realizaciju Kapitalnog projekta K105004 Rekonstrukcija javne rasvjete Obala dr. Ante Šonje planira se smanjenje u iznosu od 244.000,00 EUR, a koje se odnosi na radove.</w:t>
      </w:r>
    </w:p>
    <w:p w14:paraId="66E0222A" w14:textId="3F0D7EB3" w:rsidR="00613542" w:rsidRPr="00C17700" w:rsidRDefault="00613542" w:rsidP="00C17700">
      <w:pPr>
        <w:pStyle w:val="Odlomakpopisa"/>
        <w:spacing w:line="276" w:lineRule="auto"/>
        <w:jc w:val="both"/>
        <w:rPr>
          <w:sz w:val="22"/>
          <w:szCs w:val="22"/>
        </w:rPr>
      </w:pPr>
    </w:p>
    <w:p w14:paraId="3F8B986C" w14:textId="77777777" w:rsidR="00613542" w:rsidRPr="00C17700" w:rsidRDefault="00613542" w:rsidP="00C17700">
      <w:pPr>
        <w:pStyle w:val="Odlomakpopis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POSLJEDICE PROIZAŠLE DONOŠENJEM OVE ODLUKE</w:t>
      </w:r>
    </w:p>
    <w:p w14:paraId="6963480A" w14:textId="48520B5B" w:rsidR="00613542" w:rsidRPr="00C17700" w:rsidRDefault="00613542" w:rsidP="00C17700">
      <w:pPr>
        <w:spacing w:line="276" w:lineRule="auto"/>
        <w:ind w:left="720"/>
        <w:jc w:val="both"/>
        <w:rPr>
          <w:sz w:val="22"/>
          <w:szCs w:val="22"/>
        </w:rPr>
      </w:pPr>
      <w:r w:rsidRPr="00C17700">
        <w:rPr>
          <w:sz w:val="22"/>
          <w:szCs w:val="22"/>
        </w:rPr>
        <w:t xml:space="preserve">Donošenjem  </w:t>
      </w:r>
      <w:r w:rsidR="00C17700">
        <w:rPr>
          <w:sz w:val="22"/>
          <w:szCs w:val="22"/>
        </w:rPr>
        <w:t>I</w:t>
      </w:r>
      <w:r w:rsidRPr="00C17700">
        <w:rPr>
          <w:sz w:val="22"/>
          <w:szCs w:val="22"/>
        </w:rPr>
        <w:t>I. izmjena i dopuna Programa građenja komunalne infrastrukture za 202</w:t>
      </w:r>
      <w:r w:rsidR="002462A1" w:rsidRPr="00C17700">
        <w:rPr>
          <w:sz w:val="22"/>
          <w:szCs w:val="22"/>
        </w:rPr>
        <w:t>3</w:t>
      </w:r>
      <w:r w:rsidRPr="00C17700">
        <w:rPr>
          <w:sz w:val="22"/>
          <w:szCs w:val="22"/>
        </w:rPr>
        <w:t xml:space="preserve">. godinu, Grad Poreč – </w:t>
      </w:r>
      <w:proofErr w:type="spellStart"/>
      <w:r w:rsidRPr="00C17700">
        <w:rPr>
          <w:sz w:val="22"/>
          <w:szCs w:val="22"/>
        </w:rPr>
        <w:t>Parenzo</w:t>
      </w:r>
      <w:proofErr w:type="spellEnd"/>
      <w:r w:rsidRPr="00C17700">
        <w:rPr>
          <w:sz w:val="22"/>
          <w:szCs w:val="22"/>
        </w:rPr>
        <w:t xml:space="preserve"> obvezan je izgraditi objekte i uređaje komunalne infrastrukture za predmetnu kalendarsku godinu sukladno programu i u skladu sa zakonskom regulativom.       </w:t>
      </w:r>
    </w:p>
    <w:p w14:paraId="20CF9B8D" w14:textId="77777777" w:rsidR="00613542" w:rsidRPr="00C17700" w:rsidRDefault="00613542" w:rsidP="00C17700">
      <w:pPr>
        <w:spacing w:line="276" w:lineRule="auto"/>
        <w:ind w:left="708"/>
        <w:jc w:val="both"/>
        <w:rPr>
          <w:sz w:val="22"/>
          <w:szCs w:val="22"/>
        </w:rPr>
      </w:pPr>
    </w:p>
    <w:p w14:paraId="29567BD5" w14:textId="77777777" w:rsidR="00613542" w:rsidRPr="00C17700" w:rsidRDefault="00613542" w:rsidP="00C17700">
      <w:pPr>
        <w:pStyle w:val="Odlomakpopis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SREDSTVA POTREBNA ZA PROVOĐENJE PROGRAMA</w:t>
      </w:r>
    </w:p>
    <w:p w14:paraId="75D95186" w14:textId="78886F44" w:rsidR="00613542" w:rsidRPr="00C17700" w:rsidRDefault="00613542" w:rsidP="00C17700">
      <w:pPr>
        <w:spacing w:line="276" w:lineRule="auto"/>
        <w:ind w:left="708"/>
        <w:jc w:val="both"/>
        <w:rPr>
          <w:sz w:val="22"/>
          <w:szCs w:val="22"/>
        </w:rPr>
      </w:pPr>
      <w:r w:rsidRPr="00C17700">
        <w:rPr>
          <w:sz w:val="22"/>
          <w:szCs w:val="22"/>
        </w:rPr>
        <w:t>Sredstva za provođenje I</w:t>
      </w:r>
      <w:r w:rsidR="00C17700">
        <w:rPr>
          <w:sz w:val="22"/>
          <w:szCs w:val="22"/>
        </w:rPr>
        <w:t>I</w:t>
      </w:r>
      <w:r w:rsidRPr="00C17700">
        <w:rPr>
          <w:sz w:val="22"/>
          <w:szCs w:val="22"/>
        </w:rPr>
        <w:t>. izmjena i dopuna Programa gradnje objekata i uređaja komunalne infrastrukture osigurana su I</w:t>
      </w:r>
      <w:r w:rsidR="00C17700">
        <w:rPr>
          <w:sz w:val="22"/>
          <w:szCs w:val="22"/>
        </w:rPr>
        <w:t>II</w:t>
      </w:r>
      <w:r w:rsidRPr="00C17700">
        <w:rPr>
          <w:sz w:val="22"/>
          <w:szCs w:val="22"/>
        </w:rPr>
        <w:t xml:space="preserve">. izmjenama i dopunama Proračunom Grada Poreča - </w:t>
      </w:r>
      <w:proofErr w:type="spellStart"/>
      <w:r w:rsidRPr="00C17700">
        <w:rPr>
          <w:sz w:val="22"/>
          <w:szCs w:val="22"/>
        </w:rPr>
        <w:t>Parenzo</w:t>
      </w:r>
      <w:proofErr w:type="spellEnd"/>
      <w:r w:rsidRPr="00C17700">
        <w:rPr>
          <w:sz w:val="22"/>
          <w:szCs w:val="22"/>
        </w:rPr>
        <w:t xml:space="preserve"> za 202</w:t>
      </w:r>
      <w:r w:rsidR="00121FEF" w:rsidRPr="00C17700">
        <w:rPr>
          <w:sz w:val="22"/>
          <w:szCs w:val="22"/>
        </w:rPr>
        <w:t>3</w:t>
      </w:r>
      <w:r w:rsidRPr="00C17700">
        <w:rPr>
          <w:sz w:val="22"/>
          <w:szCs w:val="22"/>
        </w:rPr>
        <w:t>. godinu.</w:t>
      </w:r>
    </w:p>
    <w:p w14:paraId="2D1975E5" w14:textId="77777777" w:rsidR="00613542" w:rsidRPr="00C17700" w:rsidRDefault="00613542" w:rsidP="00C17700">
      <w:pPr>
        <w:spacing w:line="276" w:lineRule="auto"/>
        <w:ind w:right="-285"/>
        <w:rPr>
          <w:b/>
          <w:bCs/>
          <w:sz w:val="22"/>
          <w:szCs w:val="22"/>
        </w:rPr>
      </w:pPr>
      <w:r w:rsidRPr="00C17700">
        <w:rPr>
          <w:b/>
          <w:bCs/>
          <w:sz w:val="22"/>
          <w:szCs w:val="22"/>
        </w:rPr>
        <w:tab/>
      </w:r>
    </w:p>
    <w:p w14:paraId="44CCA18A" w14:textId="77777777" w:rsidR="00613542" w:rsidRPr="00C17700" w:rsidRDefault="00613542" w:rsidP="00C17700">
      <w:pPr>
        <w:spacing w:line="276" w:lineRule="auto"/>
        <w:rPr>
          <w:sz w:val="22"/>
          <w:szCs w:val="22"/>
        </w:rPr>
      </w:pPr>
    </w:p>
    <w:p w14:paraId="795E12AE" w14:textId="77777777" w:rsidR="00613542" w:rsidRPr="00C17700" w:rsidRDefault="00613542" w:rsidP="00C17700">
      <w:pPr>
        <w:spacing w:line="276" w:lineRule="auto"/>
        <w:rPr>
          <w:sz w:val="22"/>
          <w:szCs w:val="22"/>
        </w:rPr>
      </w:pPr>
    </w:p>
    <w:p w14:paraId="75AF9CD9" w14:textId="77777777" w:rsidR="00FA4C55" w:rsidRDefault="00FA4C55"/>
    <w:sectPr w:rsidR="00FA4C55" w:rsidSect="00E56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1C40"/>
    <w:multiLevelType w:val="hybridMultilevel"/>
    <w:tmpl w:val="06902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F5D3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C5CB7"/>
    <w:multiLevelType w:val="hybridMultilevel"/>
    <w:tmpl w:val="EA3EDA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65676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0C61"/>
    <w:multiLevelType w:val="hybridMultilevel"/>
    <w:tmpl w:val="1D105C0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968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04AC8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C72ED"/>
    <w:multiLevelType w:val="hybridMultilevel"/>
    <w:tmpl w:val="6FAA66F6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9700559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86C43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6382"/>
    <w:multiLevelType w:val="hybridMultilevel"/>
    <w:tmpl w:val="646014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066C0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A2599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C212A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45F"/>
    <w:multiLevelType w:val="hybridMultilevel"/>
    <w:tmpl w:val="175C6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B028D"/>
    <w:multiLevelType w:val="hybridMultilevel"/>
    <w:tmpl w:val="A4A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44563D"/>
    <w:multiLevelType w:val="hybridMultilevel"/>
    <w:tmpl w:val="CBCE1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13E93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34621"/>
    <w:multiLevelType w:val="hybridMultilevel"/>
    <w:tmpl w:val="3BBE384A"/>
    <w:lvl w:ilvl="0" w:tplc="50DA11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16"/>
  </w:num>
  <w:num w:numId="8">
    <w:abstractNumId w:val="6"/>
  </w:num>
  <w:num w:numId="9">
    <w:abstractNumId w:val="2"/>
  </w:num>
  <w:num w:numId="10">
    <w:abstractNumId w:val="7"/>
  </w:num>
  <w:num w:numId="11">
    <w:abstractNumId w:val="3"/>
  </w:num>
  <w:num w:numId="12">
    <w:abstractNumId w:val="11"/>
  </w:num>
  <w:num w:numId="13">
    <w:abstractNumId w:val="21"/>
  </w:num>
  <w:num w:numId="14">
    <w:abstractNumId w:val="17"/>
  </w:num>
  <w:num w:numId="15">
    <w:abstractNumId w:val="4"/>
  </w:num>
  <w:num w:numId="16">
    <w:abstractNumId w:val="23"/>
  </w:num>
  <w:num w:numId="17">
    <w:abstractNumId w:val="9"/>
  </w:num>
  <w:num w:numId="18">
    <w:abstractNumId w:val="20"/>
  </w:num>
  <w:num w:numId="19">
    <w:abstractNumId w:val="1"/>
  </w:num>
  <w:num w:numId="20">
    <w:abstractNumId w:val="15"/>
  </w:num>
  <w:num w:numId="21">
    <w:abstractNumId w:val="12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42"/>
    <w:rsid w:val="00055D04"/>
    <w:rsid w:val="000C490B"/>
    <w:rsid w:val="000C53C3"/>
    <w:rsid w:val="00121FEF"/>
    <w:rsid w:val="00133325"/>
    <w:rsid w:val="002462A1"/>
    <w:rsid w:val="00271720"/>
    <w:rsid w:val="002A1796"/>
    <w:rsid w:val="002D253C"/>
    <w:rsid w:val="00306FD6"/>
    <w:rsid w:val="0031527B"/>
    <w:rsid w:val="00361B20"/>
    <w:rsid w:val="00414E33"/>
    <w:rsid w:val="00446912"/>
    <w:rsid w:val="00475A0D"/>
    <w:rsid w:val="004B6FEF"/>
    <w:rsid w:val="004E2BD3"/>
    <w:rsid w:val="00613542"/>
    <w:rsid w:val="006B68F2"/>
    <w:rsid w:val="00853458"/>
    <w:rsid w:val="00892BE7"/>
    <w:rsid w:val="009062E4"/>
    <w:rsid w:val="009A069B"/>
    <w:rsid w:val="009A4812"/>
    <w:rsid w:val="009B2A1D"/>
    <w:rsid w:val="009B318B"/>
    <w:rsid w:val="009D6178"/>
    <w:rsid w:val="00A637B2"/>
    <w:rsid w:val="00A825BB"/>
    <w:rsid w:val="00BA1236"/>
    <w:rsid w:val="00BD4071"/>
    <w:rsid w:val="00C17700"/>
    <w:rsid w:val="00C63E16"/>
    <w:rsid w:val="00C70970"/>
    <w:rsid w:val="00C76A31"/>
    <w:rsid w:val="00D51358"/>
    <w:rsid w:val="00D84F33"/>
    <w:rsid w:val="00DE1ED3"/>
    <w:rsid w:val="00E47DC6"/>
    <w:rsid w:val="00EE78E6"/>
    <w:rsid w:val="00FA450F"/>
    <w:rsid w:val="00FA4C55"/>
    <w:rsid w:val="00FC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0681"/>
  <w15:chartTrackingRefBased/>
  <w15:docId w15:val="{96621FB4-72F4-40A1-8B2B-5B466C36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qFormat/>
    <w:rsid w:val="006135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Naslov3">
    <w:name w:val="heading 3"/>
    <w:basedOn w:val="Normal"/>
    <w:next w:val="Normal"/>
    <w:link w:val="Naslov3Char"/>
    <w:unhideWhenUsed/>
    <w:qFormat/>
    <w:rsid w:val="00613542"/>
    <w:pPr>
      <w:keepNext/>
      <w:jc w:val="both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613542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character" w:customStyle="1" w:styleId="Naslov3Char">
    <w:name w:val="Naslov 3 Char"/>
    <w:basedOn w:val="Zadanifontodlomka"/>
    <w:link w:val="Naslov3"/>
    <w:rsid w:val="0061354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Odlomakpopisa">
    <w:name w:val="List Paragraph"/>
    <w:basedOn w:val="Normal"/>
    <w:link w:val="OdlomakpopisaChar"/>
    <w:uiPriority w:val="34"/>
    <w:qFormat/>
    <w:rsid w:val="00613542"/>
    <w:pPr>
      <w:ind w:left="720"/>
      <w:contextualSpacing/>
    </w:pPr>
  </w:style>
  <w:style w:type="table" w:styleId="Reetkatablice">
    <w:name w:val="Table Grid"/>
    <w:basedOn w:val="Obinatablica"/>
    <w:rsid w:val="0061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135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354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OdlomakpopisaChar">
    <w:name w:val="Odlomak popisa Char"/>
    <w:link w:val="Odlomakpopisa"/>
    <w:uiPriority w:val="34"/>
    <w:locked/>
    <w:rsid w:val="00121FE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2D253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D253C"/>
    <w:rPr>
      <w:color w:val="954F72"/>
      <w:u w:val="single"/>
    </w:rPr>
  </w:style>
  <w:style w:type="paragraph" w:customStyle="1" w:styleId="msonormal0">
    <w:name w:val="msonormal"/>
    <w:basedOn w:val="Normal"/>
    <w:rsid w:val="002D253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2D253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"/>
    <w:rsid w:val="002D253C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7">
    <w:name w:val="xl67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2D2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2D2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2D253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"/>
    <w:rsid w:val="002D25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3706</Words>
  <Characters>21128</Characters>
  <Application>Microsoft Office Word</Application>
  <DocSecurity>0</DocSecurity>
  <Lines>176</Lines>
  <Paragraphs>49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6</cp:revision>
  <cp:lastPrinted>2023-12-07T11:33:00Z</cp:lastPrinted>
  <dcterms:created xsi:type="dcterms:W3CDTF">2023-12-07T10:45:00Z</dcterms:created>
  <dcterms:modified xsi:type="dcterms:W3CDTF">2023-12-07T11:34:00Z</dcterms:modified>
</cp:coreProperties>
</file>